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keepNext w:val="1"/>
        <w:spacing w:after="0" w:line="240" w:lineRule="auto"/>
        <w:ind/>
        <w:jc w:val="center"/>
        <w:outlineLvl w:val="0"/>
        <w:rPr>
          <w:rFonts w:ascii="Times New Roman" w:hAnsi="Times New Roman"/>
          <w:sz w:val="28"/>
        </w:rPr>
      </w:pPr>
      <w:bookmarkStart w:id="1" w:name="_GoBack"/>
      <w:bookmarkEnd w:id="1"/>
      <w:r>
        <w:rPr>
          <w:rFonts w:ascii="Times New Roman" w:hAnsi="Times New Roman"/>
          <w:sz w:val="28"/>
        </w:rPr>
        <w:t xml:space="preserve">РОСТОВСКАЯ ОБЛАСТЬ                        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ОКТЯБРЬСКИЙ РАЙОН</w:t>
      </w:r>
    </w:p>
    <w:p w14:paraId="09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ОБРАЗОВАНИЕ</w:t>
      </w:r>
    </w:p>
    <w:p w14:paraId="0A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«МОКРОЛОГСКОЕ СЕЛЬСКОЕ ПОСЕЛЕНИЕ»</w:t>
      </w:r>
    </w:p>
    <w:p w14:paraId="0B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СОБРАНИЕ ДЕП</w:t>
      </w:r>
      <w:r>
        <w:rPr>
          <w:rFonts w:ascii="Times New Roman" w:hAnsi="Times New Roman"/>
          <w:sz w:val="28"/>
        </w:rPr>
        <w:t xml:space="preserve">УТАТОВ МОКРОЛОГСКОГО СЕЛЬСКОГО </w:t>
      </w:r>
      <w:r>
        <w:rPr>
          <w:rFonts w:ascii="Times New Roman" w:hAnsi="Times New Roman"/>
          <w:sz w:val="28"/>
        </w:rPr>
        <w:t>ПОСЕЛЕНИЯ</w:t>
      </w:r>
    </w:p>
    <w:p w14:paraId="0C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0D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</w:t>
      </w:r>
    </w:p>
    <w:p w14:paraId="0E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tbl>
      <w:tblPr>
        <w:tblStyle w:val="Style_2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770"/>
        <w:gridCol w:w="3098"/>
        <w:gridCol w:w="2485"/>
      </w:tblGrid>
      <w:tr>
        <w:tc>
          <w:tcPr>
            <w:tcW w:type="dxa" w:w="377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16.01.2024</w:t>
            </w:r>
          </w:p>
        </w:tc>
        <w:tc>
          <w:tcPr>
            <w:tcW w:type="dxa" w:w="309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</w:t>
            </w:r>
            <w:r>
              <w:rPr>
                <w:rFonts w:ascii="Times New Roman" w:hAnsi="Times New Roman"/>
                <w:sz w:val="28"/>
              </w:rPr>
              <w:t>№ 86</w:t>
            </w:r>
          </w:p>
        </w:tc>
        <w:tc>
          <w:tcPr>
            <w:tcW w:type="dxa" w:w="248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п. Новозарянский</w:t>
            </w:r>
          </w:p>
        </w:tc>
      </w:tr>
    </w:tbl>
    <w:p w14:paraId="12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3000000">
      <w:pPr>
        <w:widowControl w:val="0"/>
        <w:spacing w:after="0" w:line="240" w:lineRule="auto"/>
        <w:ind/>
        <w:jc w:val="lef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О ликвидации муниципального</w:t>
      </w:r>
    </w:p>
    <w:p w14:paraId="14000000">
      <w:pPr>
        <w:widowControl w:val="0"/>
        <w:spacing w:after="0" w:line="240" w:lineRule="auto"/>
        <w:ind/>
        <w:jc w:val="lef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унитарного предприятия</w:t>
      </w:r>
    </w:p>
    <w:p w14:paraId="15000000">
      <w:pPr>
        <w:spacing w:after="15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Руководствуясь статьями 61 - 64 Гражданского кодекса Российской Федерации, федеральными законами от 12 января 1996 года № 161-ФЗ «О государственных и муниципальных унитарных предприятиях», от 6 октября 2003 года № 131-ФЗ «Об общих принципах организации местного самоуправления в Российской Федерации», Уставом муниципального образования «Мокрологское сельское поселение» в с</w:t>
      </w:r>
      <w:r>
        <w:rPr>
          <w:rStyle w:val="Style_3_ch"/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предупрежд</w:t>
      </w:r>
      <w:r>
        <w:rPr>
          <w:rStyle w:val="Style_3_ch"/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ением о прекращении действий (бездействия), которые содержат признаки нарушения антимонопольного законодательства от 05.12.2023 №ВК/20220/23, выданного Управлением Федеральной антимонопольной службы по Ростовской области, собрание депутатов Мокрологского сельского поселения</w:t>
      </w:r>
    </w:p>
    <w:p w14:paraId="16000000">
      <w:pPr>
        <w:spacing w:after="0" w:line="240" w:lineRule="auto"/>
        <w:ind w:firstLine="709" w:left="0"/>
        <w:jc w:val="center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РЕШИЛО</w:t>
      </w:r>
      <w:r>
        <w:rPr>
          <w:rFonts w:ascii="Times New Roman" w:hAnsi="Times New Roman"/>
          <w:color w:themeColor="text1" w:val="000000"/>
          <w:sz w:val="28"/>
        </w:rPr>
        <w:t>:</w:t>
      </w:r>
    </w:p>
    <w:p w14:paraId="17000000">
      <w:pPr>
        <w:spacing w:after="150" w:before="0" w:line="240" w:lineRule="auto"/>
        <w:ind w:firstLine="709" w:left="0" w:right="0"/>
        <w:jc w:val="both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18000000">
      <w:pPr>
        <w:pStyle w:val="Style_3"/>
        <w:spacing w:after="15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1.Ликвидировать муниципальное унитарное предприятие «Ритуальные услуги» ОГРН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1226100014348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. Юридический адрес: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346486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,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Ростовская </w:t>
      </w:r>
      <w:r>
        <w:rPr>
          <w:rStyle w:val="Style_3_ch"/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область</w:t>
      </w:r>
      <w:r>
        <w:rPr>
          <w:rStyle w:val="Style_3_ch"/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,</w:t>
      </w:r>
      <w:r>
        <w:rPr>
          <w:rStyle w:val="Style_3_ch"/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 </w:t>
      </w:r>
      <w:r>
        <w:rPr>
          <w:rStyle w:val="Style_3_ch"/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Октябрьский р-н, п Новозарянский</w:t>
      </w:r>
      <w:r>
        <w:rPr>
          <w:rStyle w:val="Style_3_ch"/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,</w:t>
      </w:r>
      <w:r>
        <w:rPr>
          <w:rStyle w:val="Style_3_ch"/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 </w:t>
      </w:r>
      <w:r>
        <w:rPr>
          <w:rStyle w:val="Style_3_ch"/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ул Ленина, д. 33, кабинет 5</w:t>
      </w:r>
    </w:p>
    <w:p w14:paraId="19000000">
      <w:pPr>
        <w:pStyle w:val="Style_3"/>
        <w:spacing w:after="15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Style w:val="Style_3_ch"/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2.Установить срок ликвидации МУП «Ритуальные услуги» до 06.05.2024г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.</w:t>
      </w:r>
    </w:p>
    <w:p w14:paraId="1A000000">
      <w:pPr>
        <w:pStyle w:val="Style_3"/>
        <w:spacing w:after="15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3.Образовать ликвидационную комиссию МУП «Ритуальные услуги» и утвердить ее состав (прилагается).</w:t>
      </w:r>
    </w:p>
    <w:p w14:paraId="1B000000">
      <w:pPr>
        <w:pStyle w:val="Style_3"/>
        <w:spacing w:after="15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4.Ликвидационной комиссии при ликвидации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МУП «Ритуальные услуги»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:</w:t>
      </w:r>
    </w:p>
    <w:p w14:paraId="1C000000">
      <w:pPr>
        <w:pStyle w:val="Style_3"/>
        <w:spacing w:after="15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в порядке и в сроки, установленные трудовым законодательством Российской Федерации, предупредить работников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МУП «Ритуальные услуги»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о предстоящем увольнении в связи с ликвидацией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МУП «Ритуальные услуги»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и обеспечить проведение комплекса организационных мероприятий, связанных с ликвидацией МУП, в отношении работников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МУП «Ритуальные услуги»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с соблюдением трудовых и социальных гарантий;</w:t>
      </w:r>
    </w:p>
    <w:p w14:paraId="1D000000">
      <w:pPr>
        <w:pStyle w:val="Style_3"/>
        <w:spacing w:after="15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осуществить предусмотренные Гражданским кодексом Российской Федерации и нормативными правовыми актами Российской Федерации мероприятия по ликвидации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МУП «Ритуальные услуги»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;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обеспечить реализацию полномочий по управлению делами ликвидируемого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МУП «Ритуальные услуги»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в течение всего периода ликвидации;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разместить в журнале «Вестник государственной регистрации» публикацию о ликвидации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МУП «Ритуальные услуги»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и о порядке и сроках заявления требований кредиторами;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выявить и уведомить в письменной форме о ликвидации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МУП «Ритуальные услуги»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всех известных кредиторов и оформить с ними акты сверки взаиморасчетов;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принять меры к выявлению дебиторов и получению дебиторской задолженности;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в срок 10 календарных дней после окончания срока для предъявления требований кредиторами составить промежуточный ликвидационный баланс, который содержит сведения о составе имущества ликвидируемого юридического лица, перечне предъявленных кредиторами требований, а также о результатах их рассмотрения и представить его на утверждение в Администрацию Мокрологского сельского поселения (далее Учредитель);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в срок 10 календарных дней после завершения расчетов с кредиторами составить ликвидационный баланс и представить его на утверждение Учредителю;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в срок 10 календарных дней после утверждения ликвидационного баланса представить в уполномоченный государственный орган для внесения в Единый государственный реестр юридических лиц уведомление о завершении процесса ликвидации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МУП «Ритуальные услуги»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;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предоставить Учредителю свидетельство об исключении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МУП «Ритуальные услуги»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из Единого государственного реестра юридических лиц.</w:t>
      </w:r>
    </w:p>
    <w:p w14:paraId="1E000000">
      <w:pPr>
        <w:pStyle w:val="Style_3"/>
        <w:spacing w:after="15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5.Утвердить план мероприятий по ликвидации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МУП «Ритуальные услуги»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в соответствии с Гражданским кодексом Российской Федерации (прилагается).</w:t>
      </w:r>
    </w:p>
    <w:p w14:paraId="1F000000">
      <w:pPr>
        <w:pStyle w:val="Style_3"/>
        <w:spacing w:after="15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6.Председателю ликвидационной комиссии Сороколетовой В.Р.: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в течение трех рабочих дней после даты принятия настоящего решения уведомить в письменной форме о ликвидации МУП «Ритуальные услуги» уполномоченный государственный орган для внесения в Единый государственный реестр юридических лиц с приложением настоящего решения;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в течение трех рабочих дней со дня принятия настоящего решения уведомить Пенсионный фонд и Фонд социального страхования о ликвидации МУП «Ритуальные услуги»;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подготовить и передать документы по личному составу МУП «Ритуальные услуги» в архивный отдел.</w:t>
      </w:r>
    </w:p>
    <w:p w14:paraId="20000000">
      <w:pPr>
        <w:pStyle w:val="Style_3"/>
        <w:spacing w:after="15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7.Старшему инспектору по имущественным вопросам Администрации Мокрологского сельского поселения после ликвидации МУП «Ритуальные услуги» внести соответствующие изменения в Реестр муниципальной собственности Мокрологского сельского поселения.</w:t>
      </w:r>
    </w:p>
    <w:p w14:paraId="21000000">
      <w:pPr>
        <w:pStyle w:val="Style_3"/>
        <w:spacing w:after="15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8.Установить, что со дня вступления в силу настоящего решения функции единоличного исполнительного органа МУП «Ритуальные услуги» переходят к ликвидационной комиссии.</w:t>
      </w:r>
    </w:p>
    <w:p w14:paraId="22000000">
      <w:pPr>
        <w:pStyle w:val="Style_3"/>
        <w:spacing w:after="15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9.Финансовое обеспечение ликвидационных мероприятий осуществить за счет МУП «Ритуальные услуги».</w:t>
      </w:r>
    </w:p>
    <w:p w14:paraId="23000000">
      <w:pPr>
        <w:pStyle w:val="Style_3"/>
        <w:spacing w:after="15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10.Утвердить прилагаемый перечень имущества, находящегося в хозяйственном ведении МУП «Ритуальные услуги», подлежащего возврату в казну муниципального образования.</w:t>
      </w:r>
    </w:p>
    <w:p w14:paraId="24000000">
      <w:pPr>
        <w:pStyle w:val="Style_3"/>
        <w:spacing w:after="15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11.Опубликовать решение в  газете «Сельский Вестник» и разместить на официальном сайте Администрации Мокрологского сельского поселения в информационно-телекоммуникационной сети Интернет.</w:t>
      </w:r>
    </w:p>
    <w:p w14:paraId="25000000">
      <w:pPr>
        <w:pStyle w:val="Style_3"/>
        <w:spacing w:after="15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12.Контроль за исполнением настоящего решения возложить на заместителя Главы администрации по ЖКХ, строительству и благоустройству Донскову С.М.</w:t>
      </w:r>
    </w:p>
    <w:p w14:paraId="26000000">
      <w:pPr>
        <w:pStyle w:val="Style_3"/>
        <w:spacing w:after="15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</w:p>
    <w:p w14:paraId="27000000">
      <w:pPr>
        <w:pStyle w:val="Style_3"/>
        <w:spacing w:after="15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</w:p>
    <w:p w14:paraId="28000000">
      <w:pPr>
        <w:pStyle w:val="Style_3"/>
        <w:spacing w:after="15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</w:p>
    <w:tbl>
      <w:tblPr>
        <w:tblStyle w:val="Style_2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677"/>
        <w:gridCol w:w="4677"/>
      </w:tblGrid>
      <w:tr>
        <w:tc>
          <w:tcPr>
            <w:tcW w:type="dxa" w:w="467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Председатель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Собрания депутатов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– глава Мокрологского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сельского поселения</w:t>
            </w:r>
          </w:p>
        </w:tc>
        <w:tc>
          <w:tcPr>
            <w:tcW w:type="dxa" w:w="467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2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               И.А.Кацилова</w:t>
            </w:r>
          </w:p>
        </w:tc>
      </w:tr>
    </w:tbl>
    <w:p w14:paraId="2C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2D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2E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2F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30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31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32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33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34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35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36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37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38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39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3A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3B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3C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3D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3E000000">
      <w:pPr>
        <w:spacing w:after="150" w:before="0" w:line="240" w:lineRule="atLeast"/>
        <w:ind w:firstLine="0" w:left="0" w:right="0"/>
        <w:jc w:val="righ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Утвержден</w:t>
      </w:r>
    </w:p>
    <w:p w14:paraId="3F000000">
      <w:pPr>
        <w:spacing w:after="150" w:before="0" w:line="240" w:lineRule="atLeast"/>
        <w:ind w:firstLine="0" w:left="0" w:right="0"/>
        <w:jc w:val="righ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решением Собрания депутатов</w:t>
      </w:r>
    </w:p>
    <w:p w14:paraId="40000000">
      <w:pPr>
        <w:spacing w:after="150" w:before="0" w:line="240" w:lineRule="atLeast"/>
        <w:ind w:firstLine="0" w:left="0" w:right="0"/>
        <w:jc w:val="righ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sz w:val="28"/>
        </w:rPr>
        <w:t>Мокрологского сельского поселения</w:t>
      </w:r>
    </w:p>
    <w:p w14:paraId="41000000">
      <w:pPr>
        <w:spacing w:after="150" w:before="0" w:line="240" w:lineRule="atLeast"/>
        <w:ind w:firstLine="0" w:left="0" w:right="0"/>
        <w:jc w:val="righ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от 16.01.2024 № 86</w:t>
      </w:r>
    </w:p>
    <w:p w14:paraId="42000000">
      <w:pPr>
        <w:spacing w:after="150" w:before="0" w:line="240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Состав </w:t>
      </w:r>
    </w:p>
    <w:p w14:paraId="43000000">
      <w:pPr>
        <w:spacing w:after="150" w:before="0" w:line="240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ликвидационной комиссии</w:t>
      </w:r>
    </w:p>
    <w:p w14:paraId="44000000">
      <w:pPr>
        <w:spacing w:after="150" w:before="0" w:line="240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муниципального унитарного предприятия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«Ритуальные услуги»</w:t>
      </w:r>
    </w:p>
    <w:tbl>
      <w:tblPr>
        <w:tblBorders>
          <w:top w:color="000000" w:sz="8" w:val="single"/>
          <w:left w:color="000000" w:sz="8" w:val="single"/>
          <w:bottom w:color="000000" w:sz="8" w:val="single"/>
          <w:right w:color="000000" w:sz="8" w:val="single"/>
        </w:tblBorders>
        <w:tblLayout w:type="fixed"/>
      </w:tblPr>
      <w:tblGrid>
        <w:gridCol w:w="3053"/>
        <w:gridCol w:w="6690"/>
      </w:tblGrid>
      <w:tr>
        <w:tc>
          <w:tcPr>
            <w:tcW w:type="dxa" w:w="305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45000000">
            <w:pPr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Сороколетова В.Р.</w:t>
            </w:r>
          </w:p>
        </w:tc>
        <w:tc>
          <w:tcPr>
            <w:tcW w:type="dxa" w:w="669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46000000">
            <w:pPr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-директор МУП «Ритуальные услуги», председатель ликвидационной комиссии</w:t>
            </w:r>
          </w:p>
        </w:tc>
      </w:tr>
      <w:tr>
        <w:tc>
          <w:tcPr>
            <w:tcW w:type="dxa" w:w="305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47000000">
            <w:pPr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Боровская Е.Н.</w:t>
            </w:r>
          </w:p>
        </w:tc>
        <w:tc>
          <w:tcPr>
            <w:tcW w:type="dxa" w:w="669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48000000">
            <w:pPr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-ведущий специалист по земельным вопросам Администрации Мокрологского сельского поселения,   секретарь комиссии</w:t>
            </w:r>
          </w:p>
        </w:tc>
      </w:tr>
      <w:tr>
        <w:tc>
          <w:tcPr>
            <w:tcW w:type="dxa" w:w="9743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49000000">
            <w:pPr>
              <w:spacing w:after="15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Члены комиссии:</w:t>
            </w:r>
          </w:p>
        </w:tc>
      </w:tr>
      <w:tr>
        <w:tc>
          <w:tcPr>
            <w:tcW w:type="dxa" w:w="305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4A000000">
            <w:pPr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Донскова С.М.</w:t>
            </w:r>
          </w:p>
        </w:tc>
        <w:tc>
          <w:tcPr>
            <w:tcW w:type="dxa" w:w="669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4B000000">
            <w:pPr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-заместитель Главы администрации по ЖКХ, строительству и благоустройству</w:t>
            </w:r>
          </w:p>
        </w:tc>
      </w:tr>
      <w:tr>
        <w:tc>
          <w:tcPr>
            <w:tcW w:type="dxa" w:w="305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4C000000">
            <w:pPr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Гукова И.Б.</w:t>
            </w:r>
          </w:p>
        </w:tc>
        <w:tc>
          <w:tcPr>
            <w:tcW w:type="dxa" w:w="669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4D000000">
            <w:pPr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-ведущий специалист по экономическим вопросам Администрации Мокрологского сельского поселения</w:t>
            </w:r>
          </w:p>
        </w:tc>
      </w:tr>
      <w:tr>
        <w:tc>
          <w:tcPr>
            <w:tcW w:type="dxa" w:w="305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4E000000">
            <w:pPr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Токарева Е.Н.</w:t>
            </w:r>
          </w:p>
        </w:tc>
        <w:tc>
          <w:tcPr>
            <w:tcW w:type="dxa" w:w="669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4F000000">
            <w:pPr>
              <w:spacing w:line="240" w:lineRule="auto"/>
              <w:ind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-главный бухгалтер бухгалтер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</w:rPr>
              <w:t>Администрации Мокрологского сельского поселения</w:t>
            </w:r>
          </w:p>
        </w:tc>
      </w:tr>
      <w:tr>
        <w:tc>
          <w:tcPr>
            <w:tcW w:type="dxa" w:w="305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50000000">
            <w:pPr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Русова И.А.</w:t>
            </w:r>
          </w:p>
        </w:tc>
        <w:tc>
          <w:tcPr>
            <w:tcW w:type="dxa" w:w="669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51000000">
            <w:pPr>
              <w:numPr>
                <w:numId w:val="1"/>
              </w:numPr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 ФЭС Администрации Мокрологского сельского поселения</w:t>
            </w:r>
          </w:p>
        </w:tc>
      </w:tr>
    </w:tbl>
    <w:p w14:paraId="52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53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54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55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56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57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58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59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5A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5B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5C000000">
      <w:pPr>
        <w:spacing w:after="150" w:before="0" w:line="240" w:lineRule="atLeast"/>
        <w:ind w:firstLine="0" w:left="0" w:right="0"/>
        <w:jc w:val="righ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Утвержден</w:t>
      </w:r>
    </w:p>
    <w:p w14:paraId="5D000000">
      <w:pPr>
        <w:spacing w:after="150" w:before="0" w:line="240" w:lineRule="atLeast"/>
        <w:ind w:firstLine="0" w:left="0" w:right="0"/>
        <w:jc w:val="righ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решением Собрания депутатов</w:t>
      </w:r>
    </w:p>
    <w:p w14:paraId="5E000000">
      <w:pPr>
        <w:spacing w:after="150" w:before="0" w:line="240" w:lineRule="atLeast"/>
        <w:ind w:firstLine="0" w:left="0" w:right="0"/>
        <w:jc w:val="righ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sz w:val="28"/>
        </w:rPr>
        <w:t>Мокрологского сельского поселения</w:t>
      </w:r>
    </w:p>
    <w:p w14:paraId="5F000000">
      <w:pPr>
        <w:spacing w:after="150" w:before="0" w:line="240" w:lineRule="atLeast"/>
        <w:ind w:firstLine="0" w:left="0" w:right="0"/>
        <w:jc w:val="righ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от 16.01.2024 № 86</w:t>
      </w:r>
    </w:p>
    <w:p w14:paraId="60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61000000">
      <w:pPr>
        <w:spacing w:after="150" w:before="0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ПЛАН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мероприятий по ликвидации муниципального унитарного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предприятия «Ритуальные услуги»</w:t>
      </w:r>
    </w:p>
    <w:tbl>
      <w:tblPr>
        <w:tblBorders>
          <w:top w:color="000000" w:sz="8" w:val="single"/>
          <w:left w:color="000000" w:sz="8" w:val="single"/>
          <w:bottom w:color="000000" w:sz="8" w:val="single"/>
          <w:right w:color="000000" w:sz="8" w:val="single"/>
        </w:tblBorders>
        <w:tblLayout w:type="fixed"/>
      </w:tblPr>
      <w:tblGrid>
        <w:gridCol w:w="600"/>
        <w:gridCol w:w="2355"/>
        <w:gridCol w:w="2415"/>
        <w:gridCol w:w="2160"/>
        <w:gridCol w:w="2265"/>
      </w:tblGrid>
      <w:tr>
        <w:tc>
          <w:tcPr>
            <w:tcW w:type="dxa" w:w="6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62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 п\п</w:t>
            </w:r>
          </w:p>
        </w:tc>
        <w:tc>
          <w:tcPr>
            <w:tcW w:type="dxa" w:w="235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6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мероприятия</w:t>
            </w:r>
          </w:p>
        </w:tc>
        <w:tc>
          <w:tcPr>
            <w:tcW w:type="dxa" w:w="241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64000000">
            <w:pPr>
              <w:spacing w:after="150" w:before="0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Срок</w:t>
            </w:r>
          </w:p>
          <w:p w14:paraId="65000000">
            <w:pPr>
              <w:spacing w:after="150" w:before="0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исполнения</w:t>
            </w:r>
          </w:p>
        </w:tc>
        <w:tc>
          <w:tcPr>
            <w:tcW w:type="dxa" w:w="21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6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Ответственные лица</w:t>
            </w:r>
          </w:p>
        </w:tc>
        <w:tc>
          <w:tcPr>
            <w:tcW w:type="dxa" w:w="226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6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Примечание</w:t>
            </w:r>
          </w:p>
        </w:tc>
      </w:tr>
      <w:tr>
        <w:tc>
          <w:tcPr>
            <w:tcW w:type="dxa" w:w="6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6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type="dxa" w:w="235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6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Опубликовать в журнале «Вестник государственной регистрации» информацию о ликвидации МУП «Ритуальные услуги» и  о  порядке, и сроке заявления требований его кредиторами</w:t>
            </w:r>
          </w:p>
        </w:tc>
        <w:tc>
          <w:tcPr>
            <w:tcW w:type="dxa" w:w="241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6A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незамедлительно после уведомления уполномоченного государственного органа для внесения в Единый государственный реестр юридических лиц уведомления о ликвидации</w:t>
            </w:r>
          </w:p>
        </w:tc>
        <w:tc>
          <w:tcPr>
            <w:tcW w:type="dxa" w:w="21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6B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ликвидационная комиссия</w:t>
            </w:r>
          </w:p>
        </w:tc>
        <w:tc>
          <w:tcPr>
            <w:tcW w:type="dxa" w:w="226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6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статья 63 Гражданского кодекса Российской Федерации, с учетом сроков окончания полномочий</w:t>
            </w:r>
          </w:p>
        </w:tc>
      </w:tr>
      <w:tr>
        <w:tc>
          <w:tcPr>
            <w:tcW w:type="dxa" w:w="6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6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type="dxa" w:w="235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6E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Письменно уведомить кредиторов</w:t>
            </w:r>
          </w:p>
        </w:tc>
        <w:tc>
          <w:tcPr>
            <w:tcW w:type="dxa" w:w="241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6F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течение 10 рабочих дней со дня вступления в силу решения о ликвидации</w:t>
            </w:r>
          </w:p>
        </w:tc>
        <w:tc>
          <w:tcPr>
            <w:tcW w:type="dxa" w:w="21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7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ликвидационная комиссия</w:t>
            </w:r>
          </w:p>
        </w:tc>
        <w:tc>
          <w:tcPr>
            <w:tcW w:type="dxa" w:w="226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71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</w:tr>
      <w:tr>
        <w:tc>
          <w:tcPr>
            <w:tcW w:type="dxa" w:w="6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72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type="dxa" w:w="235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7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Письменно направить дебиторам требования о выплате денежных средств</w:t>
            </w:r>
          </w:p>
        </w:tc>
        <w:tc>
          <w:tcPr>
            <w:tcW w:type="dxa" w:w="241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7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течение 10 рабочих дней со дня вступления в силу решения о ликвидации</w:t>
            </w:r>
          </w:p>
        </w:tc>
        <w:tc>
          <w:tcPr>
            <w:tcW w:type="dxa" w:w="21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75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ликвидационная комиссия</w:t>
            </w:r>
          </w:p>
        </w:tc>
        <w:tc>
          <w:tcPr>
            <w:tcW w:type="dxa" w:w="226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7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</w:tr>
      <w:tr>
        <w:tc>
          <w:tcPr>
            <w:tcW w:type="dxa" w:w="6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7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</w:t>
            </w:r>
          </w:p>
        </w:tc>
        <w:tc>
          <w:tcPr>
            <w:tcW w:type="dxa" w:w="235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7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Провести инвентаризацию имущества ликвидируемого учреждения</w:t>
            </w:r>
          </w:p>
        </w:tc>
        <w:tc>
          <w:tcPr>
            <w:tcW w:type="dxa" w:w="241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7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течение 15 рабочих дней со дня вступления в силу решения о ликвидации</w:t>
            </w:r>
          </w:p>
        </w:tc>
        <w:tc>
          <w:tcPr>
            <w:tcW w:type="dxa" w:w="21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7A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ликвидационная комиссия</w:t>
            </w:r>
          </w:p>
        </w:tc>
        <w:tc>
          <w:tcPr>
            <w:tcW w:type="dxa" w:w="226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7B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статья 12 Федерального закона № 129 «О бухгалтерском учете»</w:t>
            </w:r>
          </w:p>
        </w:tc>
      </w:tr>
      <w:tr>
        <w:tc>
          <w:tcPr>
            <w:tcW w:type="dxa" w:w="6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7C000000">
            <w:pPr>
              <w:spacing w:after="150" w:before="0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</w:t>
            </w:r>
          </w:p>
        </w:tc>
        <w:tc>
          <w:tcPr>
            <w:tcW w:type="dxa" w:w="235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7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Предупредить работников о предстоящем увольнении с соблюдением трудовых и социальных гарантий</w:t>
            </w:r>
          </w:p>
        </w:tc>
        <w:tc>
          <w:tcPr>
            <w:tcW w:type="dxa" w:w="241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7E000000">
            <w:pPr>
              <w:spacing w:after="150" w:before="0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менее чем за два месяца до увольнения</w:t>
            </w:r>
          </w:p>
        </w:tc>
        <w:tc>
          <w:tcPr>
            <w:tcW w:type="dxa" w:w="21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7F000000">
            <w:pPr>
              <w:spacing w:after="150" w:before="0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ликвидационная комиссия</w:t>
            </w:r>
          </w:p>
        </w:tc>
        <w:tc>
          <w:tcPr>
            <w:tcW w:type="dxa" w:w="226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8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</w:tr>
      <w:tr>
        <w:tc>
          <w:tcPr>
            <w:tcW w:type="dxa" w:w="6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81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</w:t>
            </w:r>
          </w:p>
        </w:tc>
        <w:tc>
          <w:tcPr>
            <w:tcW w:type="dxa" w:w="235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82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Составить промежуточный ликвидационный баланс в соответствии с действующими правилами ведения бухгалтерского учета и отчетности с приложением перечня имущества ликвидируемого учреждения, а также перечня требований, предъявленных кредиторами и результаты их рассмотрения, и уведомить регистрирующий орган по форме              Р 15001</w:t>
            </w:r>
          </w:p>
        </w:tc>
        <w:tc>
          <w:tcPr>
            <w:tcW w:type="dxa" w:w="241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8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после окончания срока для предъявления требований кредиторов</w:t>
            </w:r>
          </w:p>
        </w:tc>
        <w:tc>
          <w:tcPr>
            <w:tcW w:type="dxa" w:w="21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8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ликвидационная комиссия</w:t>
            </w:r>
          </w:p>
        </w:tc>
        <w:tc>
          <w:tcPr>
            <w:tcW w:type="dxa" w:w="226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85000000">
            <w:pPr>
              <w:spacing w:after="150" w:before="0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пункт 2 статьи 63 Гражданского кодекса Российской Федерации,</w:t>
            </w:r>
          </w:p>
          <w:p w14:paraId="86000000">
            <w:pPr>
              <w:spacing w:after="150" w:before="0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промежуточный ликвидационный баланс</w:t>
            </w:r>
          </w:p>
        </w:tc>
      </w:tr>
      <w:tr>
        <w:tc>
          <w:tcPr>
            <w:tcW w:type="dxa" w:w="6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8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</w:t>
            </w:r>
          </w:p>
        </w:tc>
        <w:tc>
          <w:tcPr>
            <w:tcW w:type="dxa" w:w="235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88000000">
            <w:pPr>
              <w:ind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 расчетов с кредиторами первой и второй очереди</w:t>
            </w:r>
          </w:p>
        </w:tc>
        <w:tc>
          <w:tcPr>
            <w:tcW w:type="dxa" w:w="241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8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течение одного месяца со дня утверждения промежуточного ликвидационного баланса</w:t>
            </w:r>
          </w:p>
        </w:tc>
        <w:tc>
          <w:tcPr>
            <w:tcW w:type="dxa" w:w="21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8A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ликвидационная комиссия</w:t>
            </w:r>
          </w:p>
        </w:tc>
        <w:tc>
          <w:tcPr>
            <w:tcW w:type="dxa" w:w="226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8B000000">
            <w:pPr>
              <w:spacing w:after="150" w:before="0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статья 63, статья 64 Гражданского кодекса Российской Федерации</w:t>
            </w:r>
          </w:p>
        </w:tc>
      </w:tr>
      <w:tr>
        <w:tc>
          <w:tcPr>
            <w:tcW w:type="dxa" w:w="6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8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8.</w:t>
            </w:r>
          </w:p>
        </w:tc>
        <w:tc>
          <w:tcPr>
            <w:tcW w:type="dxa" w:w="235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8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 расчетов с кредиторами третьей и четвертой очереди</w:t>
            </w:r>
          </w:p>
        </w:tc>
        <w:tc>
          <w:tcPr>
            <w:tcW w:type="dxa" w:w="241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8E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 истечении месяца со дня утверждения промежуточного ликвидационного баланса</w:t>
            </w:r>
          </w:p>
        </w:tc>
        <w:tc>
          <w:tcPr>
            <w:tcW w:type="dxa" w:w="21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8F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ликвидационная комиссия</w:t>
            </w:r>
          </w:p>
        </w:tc>
        <w:tc>
          <w:tcPr>
            <w:tcW w:type="dxa" w:w="226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90000000">
            <w:pPr>
              <w:spacing w:after="150" w:before="0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статья 63, статья 64 Гражданского кодекса Российской Федерации</w:t>
            </w:r>
          </w:p>
        </w:tc>
      </w:tr>
      <w:tr>
        <w:tc>
          <w:tcPr>
            <w:tcW w:type="dxa" w:w="6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91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</w:t>
            </w:r>
          </w:p>
        </w:tc>
        <w:tc>
          <w:tcPr>
            <w:tcW w:type="dxa" w:w="235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92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Составить ликвидационный баланс в соответствии с действующими правилами ведения бухгалтерского учета и отчетности</w:t>
            </w:r>
          </w:p>
        </w:tc>
        <w:tc>
          <w:tcPr>
            <w:tcW w:type="dxa" w:w="241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93000000">
            <w:pPr>
              <w:spacing w:after="150" w:before="0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после расчетов с кредиторами</w:t>
            </w:r>
          </w:p>
        </w:tc>
        <w:tc>
          <w:tcPr>
            <w:tcW w:type="dxa" w:w="21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9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ликвидационная комиссия</w:t>
            </w:r>
          </w:p>
        </w:tc>
        <w:tc>
          <w:tcPr>
            <w:tcW w:type="dxa" w:w="226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95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пункт 5 статьи 63 Гражданского кодекса Российской Федерации</w:t>
            </w:r>
          </w:p>
        </w:tc>
      </w:tr>
      <w:tr>
        <w:tc>
          <w:tcPr>
            <w:tcW w:type="dxa" w:w="6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9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</w:t>
            </w:r>
          </w:p>
        </w:tc>
        <w:tc>
          <w:tcPr>
            <w:tcW w:type="dxa" w:w="235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9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Направление в регистрирующий орган уведомления о завершении процесса ликвидации</w:t>
            </w:r>
          </w:p>
        </w:tc>
        <w:tc>
          <w:tcPr>
            <w:tcW w:type="dxa" w:w="241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9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течение 10 календарных дней после утверждения ликвидационного баланса с учетом статьи 21 Федерального закона от 08.08.2001                № 129 -ФЗ «О государственной регистрации юридических лиц и индивидуальных предпринимателей»</w:t>
            </w:r>
          </w:p>
        </w:tc>
        <w:tc>
          <w:tcPr>
            <w:tcW w:type="dxa" w:w="21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9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ликвидационная комиссия</w:t>
            </w:r>
          </w:p>
        </w:tc>
        <w:tc>
          <w:tcPr>
            <w:tcW w:type="dxa" w:w="226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9A000000">
            <w:pPr>
              <w:spacing w:after="150" w:before="0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пункт 1 статьи 21 Госпошлина в размере установленном ст. 333.33 Налоговым кодексом Российской Федерации</w:t>
            </w:r>
          </w:p>
        </w:tc>
      </w:tr>
      <w:tr>
        <w:tc>
          <w:tcPr>
            <w:tcW w:type="dxa" w:w="6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9B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</w:t>
            </w:r>
          </w:p>
        </w:tc>
        <w:tc>
          <w:tcPr>
            <w:tcW w:type="dxa" w:w="235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9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Предоставить Учредителю свидетельство об исключении юридического лица из Единого государственного реестра юридических лиц</w:t>
            </w:r>
          </w:p>
        </w:tc>
        <w:tc>
          <w:tcPr>
            <w:tcW w:type="dxa" w:w="241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9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21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9E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ликвидационная комиссия</w:t>
            </w:r>
          </w:p>
        </w:tc>
        <w:tc>
          <w:tcPr>
            <w:tcW w:type="dxa" w:w="226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9F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</w:tr>
    </w:tbl>
    <w:p w14:paraId="A0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A1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A2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A3000000">
      <w:pPr>
        <w:spacing w:after="150" w:before="0"/>
        <w:ind w:firstLine="0" w:left="0" w:right="0"/>
        <w:jc w:val="right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Утвержден</w:t>
      </w:r>
    </w:p>
    <w:p w14:paraId="A4000000">
      <w:pPr>
        <w:spacing w:after="150" w:before="0" w:line="240" w:lineRule="atLeast"/>
        <w:ind w:firstLine="0" w:left="0" w:right="0"/>
        <w:jc w:val="righ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решением Собрания депутатов</w:t>
      </w:r>
    </w:p>
    <w:p w14:paraId="A5000000">
      <w:pPr>
        <w:spacing w:after="150" w:before="0" w:line="240" w:lineRule="atLeast"/>
        <w:ind w:firstLine="0" w:left="0" w:right="0"/>
        <w:jc w:val="righ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sz w:val="28"/>
        </w:rPr>
        <w:t>Мокрологского сельского поселения</w:t>
      </w:r>
    </w:p>
    <w:p w14:paraId="A6000000">
      <w:pPr>
        <w:spacing w:after="150" w:before="0"/>
        <w:ind w:firstLine="0" w:left="0" w:right="0"/>
        <w:jc w:val="center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                                                                                                   от 16.01.2024 № 86</w:t>
      </w:r>
    </w:p>
    <w:p w14:paraId="A7000000">
      <w:pPr>
        <w:spacing w:after="150" w:before="0"/>
        <w:ind w:firstLine="0" w:left="0" w:right="0"/>
        <w:jc w:val="center"/>
        <w:rPr>
          <w:rFonts w:ascii="arial" w:hAnsi="arial"/>
          <w:b w:val="0"/>
          <w:i w:val="0"/>
          <w:caps w:val="0"/>
          <w:color w:val="000000"/>
          <w:spacing w:val="0"/>
          <w:sz w:val="21"/>
          <w:highlight w:val="white"/>
        </w:rPr>
      </w:pPr>
    </w:p>
    <w:p w14:paraId="A8000000">
      <w:pPr>
        <w:spacing w:after="150" w:before="0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Перечень имущества, находящегося в хозяйственном ведении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МУП «Ритуальные услуги», подлежащего возврату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в казну муниципального образования «Мокрологское сельское поселение»</w:t>
      </w:r>
    </w:p>
    <w:tbl>
      <w:tblPr>
        <w:tblBorders>
          <w:top w:color="000000" w:sz="8" w:val="single"/>
          <w:left w:color="000000" w:sz="8" w:val="single"/>
          <w:bottom w:color="000000" w:sz="8" w:val="single"/>
          <w:right w:color="000000" w:sz="8" w:val="single"/>
        </w:tblBorders>
        <w:tblLayout w:type="fixed"/>
      </w:tblPr>
      <w:tblGrid>
        <w:gridCol w:w="2055"/>
        <w:gridCol w:w="2805"/>
        <w:gridCol w:w="2184"/>
        <w:gridCol w:w="2310"/>
      </w:tblGrid>
      <w:tr>
        <w:tc>
          <w:tcPr>
            <w:tcW w:type="dxa" w:w="205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A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</w:t>
            </w:r>
          </w:p>
        </w:tc>
        <w:tc>
          <w:tcPr>
            <w:tcW w:type="dxa" w:w="280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AA000000">
            <w:pPr>
              <w:spacing w:after="150" w:before="0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Адрес</w:t>
            </w:r>
          </w:p>
          <w:p w14:paraId="AB000000">
            <w:pPr>
              <w:spacing w:after="150" w:before="0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местонахождения</w:t>
            </w:r>
          </w:p>
        </w:tc>
        <w:tc>
          <w:tcPr>
            <w:tcW w:type="dxa" w:w="218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AC000000">
            <w:pPr>
              <w:spacing w:after="150" w:before="0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идентификационный номер</w:t>
            </w:r>
          </w:p>
        </w:tc>
        <w:tc>
          <w:tcPr>
            <w:tcW w:type="dxa" w:w="231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A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Балансовая / остаточная стоимость на 30.05.2022., тыс.руб.</w:t>
            </w:r>
          </w:p>
        </w:tc>
      </w:tr>
      <w:tr>
        <w:tc>
          <w:tcPr>
            <w:tcW w:type="dxa" w:w="205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AE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ВАЗ 21074 LADA 2107, 2006г.</w:t>
            </w:r>
          </w:p>
        </w:tc>
        <w:tc>
          <w:tcPr>
            <w:tcW w:type="dxa" w:w="280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AF000000">
            <w:pPr>
              <w:spacing w:after="150" w:before="0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п. Новозарянский, ул. Ленина, 35</w:t>
            </w:r>
          </w:p>
        </w:tc>
        <w:tc>
          <w:tcPr>
            <w:tcW w:type="dxa" w:w="218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B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ХТА21074072490355</w:t>
            </w:r>
          </w:p>
        </w:tc>
        <w:tc>
          <w:tcPr>
            <w:tcW w:type="dxa" w:w="231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top"/>
          </w:tcPr>
          <w:p w14:paraId="B1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183,6/107,0</w:t>
            </w:r>
          </w:p>
        </w:tc>
      </w:tr>
    </w:tbl>
    <w:p w14:paraId="B200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</w:p>
    <w:p w14:paraId="B3000000">
      <w:pPr>
        <w:keepNext w:val="1"/>
        <w:spacing w:after="0" w:line="240" w:lineRule="auto"/>
        <w:ind/>
        <w:jc w:val="center"/>
        <w:outlineLvl w:val="0"/>
        <w:rPr>
          <w:rFonts w:ascii="Times New Roman" w:hAnsi="Times New Roman"/>
          <w:color w:themeColor="text1" w:val="000000"/>
          <w:sz w:val="28"/>
        </w:rPr>
      </w:pPr>
    </w:p>
    <w:sectPr>
      <w:headerReference r:id="rId2" w:type="default"/>
      <w:pgSz w:h="16838" w:orient="portrait" w:w="11906"/>
      <w:pgMar w:bottom="1134" w:footer="709" w:gutter="0" w:header="709" w:left="1843" w:right="709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sz w:val="20"/>
      </w:rPr>
    </w:pP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3000000">
    <w:pPr>
      <w:pStyle w:val="Style_1"/>
      <w:ind/>
      <w:jc w:val="center"/>
      <w:rPr>
        <w:sz w:val="20"/>
      </w:rPr>
    </w:pP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5000000">
    <w:pPr>
      <w:pStyle w:val="Style_1"/>
      <w:ind/>
      <w:jc w:val="center"/>
      <w:rPr>
        <w:sz w:val="24"/>
      </w:rPr>
    </w:pPr>
  </w:p>
  <w:p w14:paraId="06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200" w:line="276" w:lineRule="auto"/>
      <w:ind/>
    </w:pPr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List Paragraph"/>
    <w:basedOn w:val="Style_3"/>
    <w:link w:val="Style_8_ch"/>
    <w:pPr>
      <w:ind w:firstLine="0" w:left="720"/>
      <w:contextualSpacing w:val="1"/>
    </w:pPr>
  </w:style>
  <w:style w:styleId="Style_8_ch" w:type="character">
    <w:name w:val="List Paragraph"/>
    <w:basedOn w:val="Style_3_ch"/>
    <w:link w:val="Style_8"/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1_ch" w:type="character">
    <w:name w:val="header"/>
    <w:basedOn w:val="Style_3_ch"/>
    <w:link w:val="Style_1"/>
    <w:rPr>
      <w:rFonts w:ascii="Times New Roman" w:hAnsi="Times New Roman"/>
      <w:sz w:val="28"/>
    </w:rPr>
  </w:style>
  <w:style w:styleId="Style_10" w:type="paragraph">
    <w:name w:val="Balloon Text"/>
    <w:basedOn w:val="Style_3"/>
    <w:link w:val="Style_10_ch"/>
    <w:pPr>
      <w:spacing w:after="0" w:line="240" w:lineRule="auto"/>
      <w:ind/>
    </w:pPr>
    <w:rPr>
      <w:rFonts w:ascii="Tahoma" w:hAnsi="Tahoma"/>
      <w:sz w:val="16"/>
    </w:rPr>
  </w:style>
  <w:style w:styleId="Style_10_ch" w:type="character">
    <w:name w:val="Balloon Text"/>
    <w:basedOn w:val="Style_3_ch"/>
    <w:link w:val="Style_10"/>
    <w:rPr>
      <w:rFonts w:ascii="Tahoma" w:hAnsi="Tahoma"/>
      <w:sz w:val="16"/>
    </w:rPr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basedOn w:val="Style_3"/>
    <w:next w:val="Style_3"/>
    <w:link w:val="Style_13_ch"/>
    <w:uiPriority w:val="9"/>
    <w:qFormat/>
    <w:pPr>
      <w:spacing w:after="108" w:before="108" w:line="240" w:lineRule="auto"/>
      <w:ind/>
      <w:jc w:val="center"/>
      <w:outlineLvl w:val="0"/>
    </w:pPr>
    <w:rPr>
      <w:rFonts w:ascii="Arial" w:hAnsi="Arial"/>
      <w:b w:val="1"/>
      <w:color w:val="26282F"/>
      <w:sz w:val="24"/>
    </w:rPr>
  </w:style>
  <w:style w:styleId="Style_13_ch" w:type="character">
    <w:name w:val="heading 1"/>
    <w:basedOn w:val="Style_3_ch"/>
    <w:link w:val="Style_13"/>
    <w:rPr>
      <w:rFonts w:ascii="Arial" w:hAnsi="Arial"/>
      <w:b w:val="1"/>
      <w:color w:val="26282F"/>
      <w:sz w:val="24"/>
    </w:rPr>
  </w:style>
  <w:style w:styleId="Style_14" w:type="paragraph">
    <w:name w:val="ConsPlusNonformat"/>
    <w:link w:val="Style_14_ch"/>
    <w:pPr>
      <w:widowControl w:val="0"/>
      <w:ind/>
    </w:pPr>
    <w:rPr>
      <w:rFonts w:ascii="Courier New" w:hAnsi="Courier New"/>
      <w:sz w:val="20"/>
    </w:rPr>
  </w:style>
  <w:style w:styleId="Style_14_ch" w:type="character">
    <w:name w:val="ConsPlusNonformat"/>
    <w:link w:val="Style_14"/>
    <w:rPr>
      <w:rFonts w:ascii="Courier New" w:hAnsi="Courier New"/>
      <w:sz w:val="20"/>
    </w:rPr>
  </w:style>
  <w:style w:styleId="Style_15" w:type="paragraph">
    <w:name w:val="Normal (Web)"/>
    <w:basedOn w:val="Style_3"/>
    <w:link w:val="Style_15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5_ch" w:type="character">
    <w:name w:val="Normal (Web)"/>
    <w:basedOn w:val="Style_3_ch"/>
    <w:link w:val="Style_15"/>
    <w:rPr>
      <w:rFonts w:ascii="Times New Roman" w:hAnsi="Times New Roman"/>
      <w:sz w:val="24"/>
    </w:rPr>
  </w:style>
  <w:style w:styleId="Style_16" w:type="paragraph">
    <w:name w:val="Hyperlink"/>
    <w:basedOn w:val="Style_17"/>
    <w:link w:val="Style_16_ch"/>
    <w:rPr>
      <w:color w:themeColor="hyperlink" w:val="0000FF"/>
      <w:u w:val="single"/>
    </w:rPr>
  </w:style>
  <w:style w:styleId="Style_16_ch" w:type="character">
    <w:name w:val="Hyperlink"/>
    <w:basedOn w:val="Style_17_ch"/>
    <w:link w:val="Style_16"/>
    <w:rPr>
      <w:color w:themeColor="hyperlink"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3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Прижатый влево"/>
    <w:basedOn w:val="Style_3"/>
    <w:next w:val="Style_3"/>
    <w:link w:val="Style_21_ch"/>
    <w:pPr>
      <w:widowControl w:val="0"/>
      <w:spacing w:after="0" w:line="240" w:lineRule="auto"/>
      <w:ind/>
    </w:pPr>
    <w:rPr>
      <w:rFonts w:ascii="Arial" w:hAnsi="Arial"/>
      <w:sz w:val="24"/>
    </w:rPr>
  </w:style>
  <w:style w:styleId="Style_21_ch" w:type="character">
    <w:name w:val="Прижатый влево"/>
    <w:basedOn w:val="Style_3_ch"/>
    <w:link w:val="Style_21"/>
    <w:rPr>
      <w:rFonts w:ascii="Arial" w:hAnsi="Arial"/>
      <w:sz w:val="24"/>
    </w:rPr>
  </w:style>
  <w:style w:styleId="Style_22" w:type="paragraph">
    <w:name w:val="footer"/>
    <w:basedOn w:val="Style_3"/>
    <w:link w:val="Style_22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2_ch" w:type="character">
    <w:name w:val="footer"/>
    <w:basedOn w:val="Style_3_ch"/>
    <w:link w:val="Style_22"/>
  </w:style>
  <w:style w:styleId="Style_23" w:type="paragraph">
    <w:name w:val="Нормальный (таблица)"/>
    <w:basedOn w:val="Style_3"/>
    <w:next w:val="Style_3"/>
    <w:link w:val="Style_23_ch"/>
    <w:pPr>
      <w:widowControl w:val="0"/>
      <w:spacing w:after="0" w:line="240" w:lineRule="auto"/>
      <w:ind/>
      <w:jc w:val="both"/>
    </w:pPr>
    <w:rPr>
      <w:rFonts w:ascii="Arial" w:hAnsi="Arial"/>
      <w:sz w:val="24"/>
    </w:rPr>
  </w:style>
  <w:style w:styleId="Style_23_ch" w:type="character">
    <w:name w:val="Нормальный (таблица)"/>
    <w:basedOn w:val="Style_3_ch"/>
    <w:link w:val="Style_23"/>
    <w:rPr>
      <w:rFonts w:ascii="Arial" w:hAnsi="Arial"/>
      <w:sz w:val="24"/>
    </w:rPr>
  </w:style>
  <w:style w:styleId="Style_24" w:type="paragraph">
    <w:name w:val="toc 9"/>
    <w:next w:val="Style_3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3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3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27" w:type="paragraph">
    <w:name w:val="Subtitle"/>
    <w:next w:val="Style_3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3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3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ConsPlusTitle"/>
    <w:link w:val="Style_30_ch"/>
    <w:pPr>
      <w:widowControl w:val="0"/>
      <w:ind/>
    </w:pPr>
    <w:rPr>
      <w:b w:val="1"/>
    </w:rPr>
  </w:style>
  <w:style w:styleId="Style_30_ch" w:type="character">
    <w:name w:val="ConsPlusTitle"/>
    <w:link w:val="Style_30"/>
    <w:rPr>
      <w:b w:val="1"/>
    </w:rPr>
  </w:style>
  <w:style w:styleId="Style_31" w:type="paragraph">
    <w:name w:val="heading 2"/>
    <w:next w:val="Style_3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32" w:type="paragraph">
    <w:name w:val="ConsPlusNormal"/>
    <w:link w:val="Style_32_ch"/>
    <w:pPr>
      <w:widowControl w:val="0"/>
      <w:ind/>
    </w:pPr>
    <w:rPr>
      <w:rFonts w:ascii="Arial" w:hAnsi="Arial"/>
      <w:sz w:val="20"/>
    </w:rPr>
  </w:style>
  <w:style w:styleId="Style_32_ch" w:type="character">
    <w:name w:val="ConsPlusNormal"/>
    <w:link w:val="Style_32"/>
    <w:rPr>
      <w:rFonts w:ascii="Arial" w:hAnsi="Arial"/>
      <w:sz w:val="20"/>
    </w:rPr>
  </w:style>
  <w:style w:styleId="Style_33" w:type="table">
    <w:name w:val="Table Grid"/>
    <w:basedOn w:val="Style_2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numbering.xml" Type="http://schemas.openxmlformats.org/officeDocument/2006/relationships/numbering"/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header3.xml" Type="http://schemas.openxmlformats.org/officeDocument/2006/relationships/header"/>
  <Relationship Id="rId2" Target="header2.xml" Type="http://schemas.openxmlformats.org/officeDocument/2006/relationships/head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2024-01-15T10:41:04Z</dcterms:modified>
</cp:coreProperties>
</file>