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/>
        <w:jc w:val="center"/>
        <w:rPr>
          <w:sz w:val="28"/>
        </w:rPr>
      </w:pPr>
      <w:r>
        <w:drawing>
          <wp:inline>
            <wp:extent cx="534924" cy="926211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534924" cy="92621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ind/>
        <w:jc w:val="center"/>
        <w:rPr>
          <w:sz w:val="28"/>
        </w:rPr>
      </w:pPr>
    </w:p>
    <w:p w14:paraId="05000000">
      <w:pPr>
        <w:ind/>
        <w:jc w:val="center"/>
        <w:rPr>
          <w:b w:val="1"/>
          <w:sz w:val="28"/>
          <w:highlight w:val="magenta"/>
        </w:rPr>
      </w:pPr>
      <w:r>
        <w:rPr>
          <w:b w:val="1"/>
          <w:sz w:val="28"/>
        </w:rPr>
        <w:t>РОССИЙСКАЯ ФЕДЕРАЦИЯ</w:t>
      </w:r>
    </w:p>
    <w:p w14:paraId="06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РОСТОВСКАЯ ОБЛАСТЬ </w:t>
      </w:r>
    </w:p>
    <w:p w14:paraId="07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ОКТЯБРЬСКИЙ РАЙОН</w:t>
      </w:r>
    </w:p>
    <w:p w14:paraId="08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«Мокрологское сельское поселение</w:t>
      </w:r>
      <w:r>
        <w:rPr>
          <w:b w:val="1"/>
          <w:sz w:val="28"/>
        </w:rPr>
        <w:t>»</w:t>
      </w:r>
    </w:p>
    <w:p w14:paraId="09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Администрация Мокрологского сельского поселения</w:t>
      </w:r>
    </w:p>
    <w:p w14:paraId="0A000000">
      <w:pPr>
        <w:ind/>
        <w:jc w:val="center"/>
        <w:rPr>
          <w:b w:val="1"/>
          <w:sz w:val="28"/>
        </w:rPr>
      </w:pPr>
    </w:p>
    <w:p w14:paraId="0B000000">
      <w:pPr>
        <w:tabs>
          <w:tab w:leader="none" w:pos="4898" w:val="center"/>
          <w:tab w:leader="none" w:pos="8265" w:val="left"/>
        </w:tabs>
        <w:ind/>
        <w:rPr>
          <w:b w:val="1"/>
          <w:sz w:val="28"/>
        </w:rPr>
      </w:pPr>
      <w:r>
        <w:rPr>
          <w:b w:val="1"/>
          <w:sz w:val="28"/>
        </w:rPr>
        <w:tab/>
      </w:r>
      <w:r>
        <w:rPr>
          <w:b w:val="1"/>
          <w:sz w:val="28"/>
        </w:rPr>
        <w:t>ПОСТАНОВЛЕНИЕ</w:t>
      </w:r>
    </w:p>
    <w:p w14:paraId="0C000000">
      <w:pPr>
        <w:tabs>
          <w:tab w:leader="none" w:pos="4898" w:val="center"/>
          <w:tab w:leader="none" w:pos="8265" w:val="left"/>
        </w:tabs>
        <w:ind/>
        <w:rPr>
          <w:b w:val="1"/>
          <w:sz w:val="28"/>
        </w:rPr>
      </w:pPr>
    </w:p>
    <w:p w14:paraId="0D000000">
      <w:pPr>
        <w:rPr>
          <w:sz w:val="28"/>
        </w:rPr>
      </w:pPr>
      <w:r>
        <w:rPr>
          <w:sz w:val="28"/>
        </w:rPr>
        <w:t xml:space="preserve">05.10.2023                    </w:t>
      </w:r>
      <w:r>
        <w:rPr>
          <w:sz w:val="28"/>
        </w:rPr>
        <w:t xml:space="preserve">                          </w:t>
      </w:r>
      <w:r>
        <w:rPr>
          <w:sz w:val="28"/>
        </w:rPr>
        <w:t>№ 100</w:t>
      </w:r>
      <w:r>
        <w:rPr>
          <w:sz w:val="28"/>
        </w:rPr>
        <w:t xml:space="preserve">    </w:t>
      </w:r>
      <w:r>
        <w:rPr>
          <w:sz w:val="28"/>
        </w:rPr>
        <w:t xml:space="preserve">    </w:t>
      </w:r>
      <w:r>
        <w:rPr>
          <w:sz w:val="28"/>
        </w:rPr>
        <w:t xml:space="preserve"> </w:t>
      </w:r>
      <w:r>
        <w:rPr>
          <w:sz w:val="28"/>
        </w:rPr>
        <w:t xml:space="preserve">             </w:t>
      </w:r>
      <w:r>
        <w:rPr>
          <w:sz w:val="28"/>
        </w:rPr>
        <w:t xml:space="preserve">    </w:t>
      </w:r>
      <w:r>
        <w:rPr>
          <w:sz w:val="28"/>
        </w:rPr>
        <w:t xml:space="preserve"> </w:t>
      </w:r>
      <w:r>
        <w:rPr>
          <w:sz w:val="28"/>
        </w:rPr>
        <w:t>п. Новозаря</w:t>
      </w:r>
      <w:r>
        <w:rPr>
          <w:sz w:val="28"/>
        </w:rPr>
        <w:t>н</w:t>
      </w:r>
      <w:r>
        <w:rPr>
          <w:sz w:val="28"/>
        </w:rPr>
        <w:t>ский</w:t>
      </w:r>
    </w:p>
    <w:p w14:paraId="0E000000">
      <w:pPr>
        <w:rPr>
          <w:sz w:val="28"/>
        </w:rPr>
      </w:pPr>
    </w:p>
    <w:p w14:paraId="0F000000">
      <w:pPr>
        <w:ind/>
        <w:jc w:val="both"/>
        <w:rPr>
          <w:sz w:val="28"/>
        </w:rPr>
      </w:pPr>
      <w:r>
        <w:rPr>
          <w:rStyle w:val="Style_3_ch"/>
          <w:sz w:val="28"/>
        </w:rPr>
        <w:t xml:space="preserve">Об утверждении порядка проведения </w:t>
      </w:r>
    </w:p>
    <w:p w14:paraId="10000000">
      <w:pPr>
        <w:ind/>
        <w:jc w:val="both"/>
        <w:rPr>
          <w:sz w:val="28"/>
        </w:rPr>
      </w:pPr>
      <w:r>
        <w:rPr>
          <w:rStyle w:val="Style_3_ch"/>
          <w:sz w:val="28"/>
        </w:rPr>
        <w:t xml:space="preserve">инвентаризации земельных участков и </w:t>
      </w:r>
    </w:p>
    <w:p w14:paraId="11000000">
      <w:pPr>
        <w:ind/>
        <w:jc w:val="both"/>
        <w:rPr>
          <w:sz w:val="28"/>
        </w:rPr>
      </w:pPr>
      <w:r>
        <w:rPr>
          <w:rStyle w:val="Style_3_ch"/>
          <w:sz w:val="28"/>
        </w:rPr>
        <w:t xml:space="preserve">мест захоронения на кладбищах </w:t>
      </w:r>
    </w:p>
    <w:p w14:paraId="12000000">
      <w:pPr>
        <w:ind/>
        <w:jc w:val="both"/>
        <w:rPr>
          <w:sz w:val="28"/>
        </w:rPr>
      </w:pPr>
      <w:r>
        <w:rPr>
          <w:rStyle w:val="Style_3_ch"/>
          <w:sz w:val="28"/>
        </w:rPr>
        <w:t xml:space="preserve">муниципального образования </w:t>
      </w:r>
    </w:p>
    <w:p w14:paraId="13000000">
      <w:pPr>
        <w:ind/>
        <w:jc w:val="both"/>
        <w:rPr>
          <w:sz w:val="28"/>
        </w:rPr>
      </w:pPr>
      <w:r>
        <w:rPr>
          <w:rStyle w:val="Style_3_ch"/>
          <w:sz w:val="28"/>
        </w:rPr>
        <w:t>«Мокрологское сельское поселение»</w:t>
      </w:r>
    </w:p>
    <w:p w14:paraId="14000000">
      <w:pPr>
        <w:ind w:firstLine="709" w:left="0"/>
        <w:jc w:val="both"/>
        <w:rPr>
          <w:sz w:val="28"/>
        </w:rPr>
      </w:pPr>
      <w:r>
        <w:rPr>
          <w:sz w:val="28"/>
        </w:rPr>
        <w:t>На основании подпункта 22 пункта 1 статьи 14 Федерального закона от 06.10.2003</w:t>
      </w:r>
      <w:r>
        <w:rPr>
          <w:sz w:val="28"/>
        </w:rPr>
        <w:tab/>
      </w:r>
      <w:r>
        <w:rPr>
          <w:sz w:val="28"/>
        </w:rPr>
        <w:t>№ 131-ФЗ «Об общих принципах организации местного самоуправления в Российской Федерации», Федерального закона от 12.01.1996 № 8-ФЗ «О погребении и похоронном деле»,</w:t>
      </w:r>
      <w:r>
        <w:rPr>
          <w:rStyle w:val="Style_3_ch"/>
          <w:sz w:val="28"/>
        </w:rPr>
        <w:t xml:space="preserve"> руководствуясь </w:t>
      </w:r>
      <w:r>
        <w:rPr>
          <w:rStyle w:val="Style_3_ch"/>
          <w:sz w:val="28"/>
        </w:rPr>
        <w:t>Уст</w:t>
      </w:r>
      <w:r>
        <w:rPr>
          <w:sz w:val="28"/>
        </w:rPr>
        <w:t>авом муниципального образования «Мокрологское сельское поселение</w:t>
      </w:r>
      <w:r>
        <w:rPr>
          <w:sz w:val="28"/>
        </w:rPr>
        <w:t>»</w:t>
      </w:r>
      <w:r>
        <w:rPr>
          <w:sz w:val="28"/>
        </w:rPr>
        <w:t>,</w:t>
      </w:r>
    </w:p>
    <w:p w14:paraId="15000000">
      <w:pPr>
        <w:tabs>
          <w:tab w:leader="none" w:pos="851" w:val="left"/>
        </w:tabs>
        <w:ind w:firstLine="709" w:left="0"/>
        <w:jc w:val="both"/>
        <w:rPr>
          <w:sz w:val="28"/>
        </w:rPr>
      </w:pPr>
    </w:p>
    <w:p w14:paraId="16000000">
      <w:pPr>
        <w:tabs>
          <w:tab w:leader="none" w:pos="851" w:val="left"/>
        </w:tabs>
        <w:ind w:firstLine="567" w:left="0"/>
        <w:jc w:val="center"/>
        <w:rPr>
          <w:sz w:val="28"/>
        </w:rPr>
      </w:pPr>
      <w:r>
        <w:rPr>
          <w:sz w:val="28"/>
        </w:rPr>
        <w:t>ПОСТАНОВЛЯЮ:</w:t>
      </w:r>
    </w:p>
    <w:p w14:paraId="17000000">
      <w:pPr>
        <w:tabs>
          <w:tab w:leader="none" w:pos="851" w:val="left"/>
        </w:tabs>
        <w:ind w:firstLine="567" w:left="0"/>
        <w:jc w:val="center"/>
        <w:rPr>
          <w:sz w:val="28"/>
        </w:rPr>
      </w:pPr>
    </w:p>
    <w:p w14:paraId="18000000">
      <w:pPr>
        <w:ind w:firstLine="709" w:left="0"/>
        <w:jc w:val="both"/>
        <w:rPr>
          <w:sz w:val="28"/>
        </w:rPr>
      </w:pPr>
      <w:r>
        <w:rPr>
          <w:rStyle w:val="Style_3_ch"/>
          <w:sz w:val="28"/>
        </w:rPr>
        <w:t xml:space="preserve">1. Утвердить Порядок </w:t>
      </w:r>
      <w:r>
        <w:rPr>
          <w:sz w:val="28"/>
        </w:rPr>
        <w:t>проведения инвентаризации земельных участков и мест захоронений на кладбищах муниципального образования «Мокрологское сельское поселение»</w:t>
      </w:r>
      <w:r>
        <w:rPr>
          <w:rStyle w:val="Style_3_ch"/>
          <w:sz w:val="28"/>
        </w:rPr>
        <w:t xml:space="preserve">, согласно приложению № 1 к настоящему постановлению. </w:t>
      </w:r>
    </w:p>
    <w:p w14:paraId="19000000">
      <w:pPr>
        <w:ind w:firstLine="709" w:left="0"/>
        <w:jc w:val="both"/>
        <w:rPr>
          <w:sz w:val="28"/>
        </w:rPr>
      </w:pPr>
      <w:r>
        <w:rPr>
          <w:rStyle w:val="Style_3_ch"/>
          <w:sz w:val="28"/>
        </w:rPr>
        <w:t>2. Обнародовать настоящее постановление путем размещения на официальном сайте Мокрологского сельского поселения Октябрьского района  в сети Интернет (</w:t>
      </w:r>
      <w:r>
        <w:rPr>
          <w:rStyle w:val="Style_4_ch"/>
          <w:rFonts w:ascii="Times New Roman" w:hAnsi="Times New Roman"/>
          <w:spacing w:val="0"/>
          <w:sz w:val="28"/>
        </w:rPr>
        <w:fldChar w:fldCharType="begin"/>
      </w:r>
      <w:r>
        <w:rPr>
          <w:rStyle w:val="Style_4_ch"/>
          <w:rFonts w:ascii="Times New Roman" w:hAnsi="Times New Roman"/>
          <w:spacing w:val="0"/>
          <w:sz w:val="28"/>
        </w:rPr>
        <w:instrText>HYPERLINK "http://www.mokrologskoe.ru"</w:instrText>
      </w:r>
      <w:r>
        <w:rPr>
          <w:rStyle w:val="Style_4_ch"/>
          <w:rFonts w:ascii="Times New Roman" w:hAnsi="Times New Roman"/>
          <w:spacing w:val="0"/>
          <w:sz w:val="28"/>
        </w:rPr>
        <w:fldChar w:fldCharType="separate"/>
      </w:r>
      <w:r>
        <w:rPr>
          <w:rStyle w:val="Style_4_ch"/>
          <w:rFonts w:ascii="Times New Roman" w:hAnsi="Times New Roman"/>
          <w:spacing w:val="0"/>
          <w:sz w:val="28"/>
        </w:rPr>
        <w:t>www</w:t>
      </w:r>
      <w:r>
        <w:rPr>
          <w:rStyle w:val="Style_4_ch"/>
          <w:rFonts w:ascii="Times New Roman" w:hAnsi="Times New Roman"/>
          <w:spacing w:val="0"/>
          <w:sz w:val="28"/>
        </w:rPr>
        <w:t>.</w:t>
      </w:r>
      <w:r>
        <w:rPr>
          <w:rStyle w:val="Style_4_ch"/>
          <w:rFonts w:ascii="Times New Roman" w:hAnsi="Times New Roman"/>
          <w:spacing w:val="0"/>
          <w:sz w:val="28"/>
        </w:rPr>
        <w:t>mokrologskoe</w:t>
      </w:r>
      <w:r>
        <w:rPr>
          <w:rStyle w:val="Style_4_ch"/>
          <w:rFonts w:ascii="Times New Roman" w:hAnsi="Times New Roman"/>
          <w:spacing w:val="0"/>
          <w:sz w:val="28"/>
        </w:rPr>
        <w:t>.</w:t>
      </w:r>
      <w:r>
        <w:rPr>
          <w:rStyle w:val="Style_4_ch"/>
          <w:rFonts w:ascii="Times New Roman" w:hAnsi="Times New Roman"/>
          <w:spacing w:val="0"/>
          <w:sz w:val="28"/>
        </w:rPr>
        <w:t>ru)</w:t>
      </w:r>
      <w:r>
        <w:rPr>
          <w:rStyle w:val="Style_4_ch"/>
          <w:rFonts w:ascii="Times New Roman" w:hAnsi="Times New Roman"/>
          <w:spacing w:val="0"/>
          <w:sz w:val="28"/>
        </w:rPr>
        <w:fldChar w:fldCharType="end"/>
      </w:r>
      <w:r>
        <w:rPr>
          <w:rStyle w:val="Style_3_ch"/>
          <w:sz w:val="28"/>
        </w:rPr>
        <w:t xml:space="preserve">. </w:t>
      </w:r>
    </w:p>
    <w:p w14:paraId="1A000000">
      <w:pPr>
        <w:ind w:firstLine="709" w:left="0"/>
        <w:jc w:val="both"/>
        <w:rPr>
          <w:sz w:val="28"/>
        </w:rPr>
      </w:pPr>
      <w:r>
        <w:rPr>
          <w:rStyle w:val="Style_3_ch"/>
          <w:sz w:val="28"/>
        </w:rPr>
        <w:t>3. Настоящее постановление вступает в силу с момента обнародования.</w:t>
      </w:r>
    </w:p>
    <w:p w14:paraId="1B000000">
      <w:pPr>
        <w:ind w:firstLine="709" w:left="0"/>
        <w:jc w:val="both"/>
        <w:rPr>
          <w:sz w:val="28"/>
        </w:rPr>
      </w:pPr>
      <w:r>
        <w:rPr>
          <w:rStyle w:val="Style_3_ch"/>
          <w:sz w:val="28"/>
        </w:rPr>
        <w:t>4. Контроль за выполнением настоящего постановления оставляю за собой.</w:t>
      </w:r>
    </w:p>
    <w:p w14:paraId="1C000000">
      <w:pPr>
        <w:ind w:firstLine="0" w:left="0"/>
        <w:jc w:val="both"/>
        <w:rPr>
          <w:sz w:val="28"/>
        </w:rPr>
      </w:pPr>
    </w:p>
    <w:p w14:paraId="1D000000">
      <w:pPr>
        <w:ind w:firstLine="0" w:left="0"/>
        <w:jc w:val="both"/>
        <w:rPr>
          <w:sz w:val="28"/>
        </w:rPr>
      </w:pPr>
    </w:p>
    <w:p w14:paraId="1E000000">
      <w:pPr>
        <w:ind w:firstLine="0" w:left="0"/>
        <w:jc w:val="both"/>
        <w:rPr>
          <w:sz w:val="28"/>
        </w:rPr>
      </w:pPr>
    </w:p>
    <w:tbl>
      <w:tblPr>
        <w:tblStyle w:val="Style_5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698"/>
        <w:gridCol w:w="4658"/>
      </w:tblGrid>
      <w:tr>
        <w:tc>
          <w:tcPr>
            <w:tcW w:type="dxa" w:w="469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</w:t>
            </w:r>
            <w:r>
              <w:rPr>
                <w:sz w:val="28"/>
              </w:rPr>
              <w:t>Глава</w:t>
            </w:r>
            <w:r>
              <w:rPr>
                <w:sz w:val="28"/>
              </w:rPr>
              <w:t xml:space="preserve"> Администрации</w:t>
            </w:r>
          </w:p>
          <w:p w14:paraId="20000000">
            <w:pPr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>Мокрологского сельского поселения</w:t>
            </w:r>
          </w:p>
        </w:tc>
        <w:tc>
          <w:tcPr>
            <w:tcW w:type="dxa" w:w="465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00000">
            <w:pPr>
              <w:ind w:firstLine="0" w:left="0"/>
              <w:jc w:val="right"/>
              <w:rPr>
                <w:sz w:val="28"/>
              </w:rPr>
            </w:pPr>
            <w:r>
              <w:rPr>
                <w:sz w:val="28"/>
              </w:rPr>
              <w:t>Г.В.Кочин</w:t>
            </w:r>
          </w:p>
        </w:tc>
      </w:tr>
    </w:tbl>
    <w:p w14:paraId="22000000">
      <w:pPr>
        <w:ind w:firstLine="0" w:left="0"/>
        <w:jc w:val="both"/>
        <w:rPr>
          <w:sz w:val="26"/>
        </w:rPr>
      </w:pPr>
    </w:p>
    <w:p w14:paraId="23000000">
      <w:pPr>
        <w:ind/>
        <w:jc w:val="right"/>
        <w:rPr>
          <w:color w:val="000000"/>
          <w:spacing w:val="1"/>
          <w:sz w:val="28"/>
        </w:rPr>
      </w:pPr>
    </w:p>
    <w:p w14:paraId="24000000">
      <w:pPr>
        <w:ind/>
        <w:jc w:val="right"/>
        <w:rPr>
          <w:color w:val="000000"/>
          <w:spacing w:val="1"/>
          <w:sz w:val="28"/>
        </w:rPr>
      </w:pPr>
    </w:p>
    <w:p w14:paraId="25000000">
      <w:pPr>
        <w:ind/>
        <w:jc w:val="right"/>
        <w:rPr>
          <w:color w:val="000000"/>
          <w:spacing w:val="1"/>
          <w:sz w:val="28"/>
        </w:rPr>
      </w:pPr>
      <w:r>
        <w:rPr>
          <w:color w:val="000000"/>
          <w:spacing w:val="1"/>
          <w:sz w:val="28"/>
        </w:rPr>
        <w:t>Приложение 1</w:t>
      </w:r>
    </w:p>
    <w:p w14:paraId="26000000">
      <w:pPr>
        <w:ind/>
        <w:jc w:val="right"/>
        <w:rPr>
          <w:color w:val="000000"/>
          <w:spacing w:val="1"/>
          <w:sz w:val="28"/>
        </w:rPr>
      </w:pPr>
      <w:r>
        <w:rPr>
          <w:color w:val="000000"/>
          <w:spacing w:val="1"/>
          <w:sz w:val="28"/>
        </w:rPr>
        <w:t xml:space="preserve">к постановлению </w:t>
      </w:r>
    </w:p>
    <w:p w14:paraId="27000000">
      <w:pPr>
        <w:ind/>
        <w:jc w:val="right"/>
        <w:rPr>
          <w:color w:val="000000"/>
          <w:spacing w:val="1"/>
          <w:sz w:val="28"/>
        </w:rPr>
      </w:pPr>
      <w:r>
        <w:rPr>
          <w:color w:val="000000"/>
          <w:spacing w:val="1"/>
          <w:sz w:val="28"/>
        </w:rPr>
        <w:t xml:space="preserve">администрации </w:t>
      </w:r>
      <w:r>
        <w:rPr>
          <w:color w:val="000000"/>
          <w:spacing w:val="1"/>
          <w:sz w:val="28"/>
        </w:rPr>
        <w:t>Мокрологского</w:t>
      </w:r>
    </w:p>
    <w:p w14:paraId="28000000">
      <w:pPr>
        <w:ind/>
        <w:jc w:val="right"/>
        <w:rPr>
          <w:color w:val="000000"/>
          <w:spacing w:val="1"/>
          <w:sz w:val="28"/>
        </w:rPr>
      </w:pPr>
      <w:r>
        <w:rPr>
          <w:color w:val="000000"/>
          <w:spacing w:val="1"/>
          <w:sz w:val="28"/>
        </w:rPr>
        <w:t>сельского поселения</w:t>
      </w:r>
    </w:p>
    <w:p w14:paraId="29000000">
      <w:pPr>
        <w:ind/>
        <w:jc w:val="right"/>
        <w:rPr>
          <w:color w:val="000000"/>
          <w:spacing w:val="1"/>
          <w:sz w:val="28"/>
        </w:rPr>
      </w:pPr>
      <w:r>
        <w:rPr>
          <w:color w:val="000000"/>
          <w:spacing w:val="1"/>
          <w:sz w:val="28"/>
        </w:rPr>
        <w:t>№ 100 от 05.10</w:t>
      </w:r>
      <w:r>
        <w:rPr>
          <w:color w:val="000000"/>
          <w:spacing w:val="1"/>
          <w:sz w:val="28"/>
        </w:rPr>
        <w:t>.2023г</w:t>
      </w:r>
    </w:p>
    <w:p w14:paraId="2A000000">
      <w:pPr>
        <w:ind w:firstLine="0" w:left="0"/>
        <w:jc w:val="both"/>
        <w:rPr>
          <w:sz w:val="26"/>
        </w:rPr>
      </w:pPr>
    </w:p>
    <w:p w14:paraId="2B000000">
      <w:pPr>
        <w:pStyle w:val="Style_3"/>
        <w:ind w:firstLine="0" w:left="0"/>
        <w:jc w:val="center"/>
        <w:rPr>
          <w:sz w:val="28"/>
        </w:rPr>
      </w:pPr>
      <w:r>
        <w:rPr>
          <w:sz w:val="28"/>
        </w:rPr>
        <w:t>ПОРЯДОК</w:t>
      </w:r>
    </w:p>
    <w:p w14:paraId="2C000000">
      <w:pPr>
        <w:pStyle w:val="Style_3"/>
        <w:ind w:firstLine="0" w:left="0"/>
        <w:jc w:val="center"/>
        <w:rPr>
          <w:sz w:val="28"/>
        </w:rPr>
      </w:pPr>
      <w:r>
        <w:rPr>
          <w:sz w:val="28"/>
        </w:rPr>
        <w:t xml:space="preserve">проведения инвентаризации земельных участков и мест захоронений на кладбищах муниципального образования </w:t>
      </w:r>
      <w:r>
        <w:rPr>
          <w:sz w:val="28"/>
        </w:rPr>
        <w:t>Суховское</w:t>
      </w:r>
      <w:r>
        <w:rPr>
          <w:sz w:val="28"/>
        </w:rPr>
        <w:t xml:space="preserve"> сельское поселение Кировского муниципального района Ленинградской области</w:t>
      </w:r>
    </w:p>
    <w:p w14:paraId="2D000000">
      <w:pPr>
        <w:pStyle w:val="Style_3"/>
        <w:ind w:firstLine="0" w:left="0"/>
        <w:jc w:val="center"/>
        <w:rPr>
          <w:sz w:val="28"/>
        </w:rPr>
      </w:pPr>
    </w:p>
    <w:p w14:paraId="2E000000">
      <w:pPr>
        <w:widowControl w:val="0"/>
        <w:spacing w:line="240" w:lineRule="auto"/>
        <w:ind w:hanging="284" w:left="993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Общие положения</w:t>
      </w:r>
    </w:p>
    <w:p w14:paraId="2F000000">
      <w:pPr>
        <w:widowControl w:val="0"/>
        <w:spacing w:line="240" w:lineRule="auto"/>
        <w:ind w:hanging="284" w:left="993"/>
        <w:jc w:val="both"/>
        <w:rPr>
          <w:rFonts w:ascii="Times New Roman" w:hAnsi="Times New Roman"/>
          <w:sz w:val="28"/>
        </w:rPr>
      </w:pPr>
    </w:p>
    <w:p w14:paraId="30000000">
      <w:pPr>
        <w:widowControl w:val="0"/>
        <w:numPr>
          <w:ilvl w:val="1"/>
          <w:numId w:val="1"/>
        </w:numPr>
        <w:tabs>
          <w:tab w:leader="none" w:pos="1304" w:val="left"/>
        </w:tabs>
        <w:spacing w:before="0" w:line="240" w:lineRule="auto"/>
        <w:ind w:hanging="284"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Настоящий Порядок проведения инвентаризации земельных участков и мест захоронений на кладбищах муниципального образования </w:t>
      </w:r>
      <w:r>
        <w:rPr>
          <w:rFonts w:ascii="Times New Roman" w:hAnsi="Times New Roman"/>
          <w:color w:val="000000"/>
          <w:sz w:val="28"/>
        </w:rPr>
        <w:t>«Мокролгское сельское поселение»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(далее - Порядок) устанавливает единые требования к проведению инвентаризации земельных участков и мест захоронений на кладбищах, находящихся на территории муниципального образования «Мокрологское сельское поселение»</w:t>
      </w:r>
      <w:r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далее - кладбища).</w:t>
      </w:r>
    </w:p>
    <w:p w14:paraId="31000000">
      <w:pPr>
        <w:widowControl w:val="0"/>
        <w:numPr>
          <w:ilvl w:val="1"/>
          <w:numId w:val="1"/>
        </w:numPr>
        <w:tabs>
          <w:tab w:leader="none" w:pos="1284" w:val="left"/>
        </w:tabs>
        <w:spacing w:before="0" w:line="240" w:lineRule="auto"/>
        <w:ind w:hanging="284"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Объектами инвентаризации являются земельные участки и места захоронений на территориях кладбищ.</w:t>
      </w:r>
    </w:p>
    <w:p w14:paraId="32000000">
      <w:pPr>
        <w:widowControl w:val="0"/>
        <w:numPr>
          <w:ilvl w:val="1"/>
          <w:numId w:val="1"/>
        </w:numPr>
        <w:tabs>
          <w:tab w:leader="none" w:pos="1289" w:val="left"/>
        </w:tabs>
        <w:spacing w:before="0" w:line="240" w:lineRule="auto"/>
        <w:ind w:hanging="284"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Инвентаризация земельных участков и мест захоронений проводится не реже одного раза в три года.</w:t>
      </w:r>
    </w:p>
    <w:p w14:paraId="33000000">
      <w:pPr>
        <w:widowControl w:val="0"/>
        <w:spacing w:before="0" w:line="240" w:lineRule="auto"/>
        <w:ind w:hanging="284"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Проведение инвентаризации земельных участков и мест захоронений на вновь образуемых кладбищах проводится по истечении двух лет, но не позднее трех лет с момента образования кладбища и утверждения его планировки.</w:t>
      </w:r>
    </w:p>
    <w:p w14:paraId="34000000">
      <w:pPr>
        <w:widowControl w:val="0"/>
        <w:numPr>
          <w:ilvl w:val="1"/>
          <w:numId w:val="1"/>
        </w:numPr>
        <w:tabs>
          <w:tab w:leader="none" w:pos="1284" w:val="left"/>
        </w:tabs>
        <w:spacing w:before="0" w:line="240" w:lineRule="auto"/>
        <w:ind w:hanging="284"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Основными целями инвентаризации земельных участков и мест захоронений являются:</w:t>
      </w:r>
    </w:p>
    <w:p w14:paraId="35000000">
      <w:pPr>
        <w:widowControl w:val="0"/>
        <w:numPr>
          <w:ilvl w:val="0"/>
          <w:numId w:val="2"/>
        </w:numPr>
        <w:tabs>
          <w:tab w:leader="none" w:pos="1152" w:val="left"/>
        </w:tabs>
        <w:spacing w:before="0" w:line="240" w:lineRule="auto"/>
        <w:ind w:hanging="284"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систематизация данных о местах захоронений на кладбищах;</w:t>
      </w:r>
    </w:p>
    <w:p w14:paraId="36000000">
      <w:pPr>
        <w:widowControl w:val="0"/>
        <w:numPr>
          <w:ilvl w:val="0"/>
          <w:numId w:val="2"/>
        </w:numPr>
        <w:spacing w:before="0" w:line="240" w:lineRule="auto"/>
        <w:ind w:hanging="284"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выявление неучтенных, бесхозяйных, брошенных, неухоженных захоронений, а также свободных для захоронений земельных участков;</w:t>
      </w:r>
    </w:p>
    <w:p w14:paraId="37000000">
      <w:pPr>
        <w:widowControl w:val="0"/>
        <w:numPr>
          <w:ilvl w:val="0"/>
          <w:numId w:val="2"/>
        </w:numPr>
        <w:tabs>
          <w:tab w:leader="none" w:pos="1112" w:val="left"/>
        </w:tabs>
        <w:spacing w:before="0" w:line="240" w:lineRule="auto"/>
        <w:ind w:hanging="284"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учет территории в зоне захоронения кладбищ, не занятой местами захоронений;</w:t>
      </w:r>
    </w:p>
    <w:p w14:paraId="38000000">
      <w:pPr>
        <w:widowControl w:val="0"/>
        <w:numPr>
          <w:ilvl w:val="0"/>
          <w:numId w:val="2"/>
        </w:numPr>
        <w:tabs>
          <w:tab w:leader="none" w:pos="1176" w:val="left"/>
        </w:tabs>
        <w:spacing w:before="0" w:line="240" w:lineRule="auto"/>
        <w:ind w:hanging="284"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создание электронной базы захоронений;</w:t>
      </w:r>
    </w:p>
    <w:p w14:paraId="39000000">
      <w:pPr>
        <w:widowControl w:val="0"/>
        <w:numPr>
          <w:ilvl w:val="0"/>
          <w:numId w:val="2"/>
        </w:numPr>
        <w:tabs>
          <w:tab w:leader="none" w:pos="1176" w:val="left"/>
        </w:tabs>
        <w:spacing w:before="0" w:line="240" w:lineRule="auto"/>
        <w:ind w:hanging="284"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планирование территории кладбищ;</w:t>
      </w:r>
    </w:p>
    <w:p w14:paraId="3A000000">
      <w:pPr>
        <w:widowControl w:val="0"/>
        <w:numPr>
          <w:ilvl w:val="0"/>
          <w:numId w:val="2"/>
        </w:numPr>
        <w:spacing w:before="0" w:line="240" w:lineRule="auto"/>
        <w:ind w:hanging="284"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определение состояния могил и/или надмогильных сооружений (надгробий);</w:t>
      </w:r>
    </w:p>
    <w:p w14:paraId="3B000000">
      <w:pPr>
        <w:widowControl w:val="0"/>
        <w:numPr>
          <w:ilvl w:val="0"/>
          <w:numId w:val="2"/>
        </w:numPr>
        <w:tabs>
          <w:tab w:leader="none" w:pos="1195" w:val="left"/>
        </w:tabs>
        <w:spacing w:before="0" w:line="240" w:lineRule="auto"/>
        <w:ind w:hanging="284"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восстановление сведений утерянных, утраченных книг регистрации захоронений (сведений о погребенном, месте погребения).</w:t>
      </w:r>
    </w:p>
    <w:p w14:paraId="3C000000">
      <w:pPr>
        <w:spacing w:line="240" w:lineRule="auto"/>
        <w:ind w:hanging="284" w:left="993"/>
        <w:jc w:val="both"/>
        <w:rPr>
          <w:rFonts w:ascii="Times New Roman" w:hAnsi="Times New Roman"/>
          <w:sz w:val="28"/>
        </w:rPr>
      </w:pPr>
    </w:p>
    <w:p w14:paraId="3D000000">
      <w:pPr>
        <w:spacing w:line="240" w:lineRule="auto"/>
        <w:ind w:hanging="284" w:left="993"/>
        <w:jc w:val="both"/>
        <w:rPr>
          <w:rFonts w:ascii="Times New Roman" w:hAnsi="Times New Roman"/>
          <w:sz w:val="28"/>
        </w:rPr>
      </w:pPr>
    </w:p>
    <w:p w14:paraId="3E000000">
      <w:pPr>
        <w:numPr>
          <w:ilvl w:val="0"/>
          <w:numId w:val="1"/>
        </w:numPr>
        <w:spacing w:line="240" w:lineRule="auto"/>
        <w:ind w:hanging="284" w:left="993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Основные правила проведения инвентаризации земельных участков и мест захоронений</w:t>
      </w:r>
    </w:p>
    <w:p w14:paraId="3F000000">
      <w:pPr>
        <w:numPr>
          <w:ilvl w:val="1"/>
          <w:numId w:val="1"/>
        </w:numPr>
        <w:spacing w:line="240" w:lineRule="auto"/>
        <w:ind w:hanging="284"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о проведении инвентаризации захоронений, порядке и сроках ее</w:t>
      </w:r>
    </w:p>
    <w:p w14:paraId="40000000">
      <w:pPr>
        <w:spacing w:line="240" w:lineRule="auto"/>
        <w:ind w:hanging="284"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проведения,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составе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инвентаризационной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комиссии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устанавливается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Style_4_ch"/>
          <w:rFonts w:ascii="Times New Roman" w:hAnsi="Times New Roman"/>
          <w:sz w:val="28"/>
        </w:rPr>
        <w:t>распоряжением</w:t>
      </w:r>
      <w:r>
        <w:rPr>
          <w:rFonts w:ascii="Times New Roman" w:hAnsi="Times New Roman"/>
          <w:sz w:val="28"/>
        </w:rPr>
        <w:t xml:space="preserve"> главы администраци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муниципального образования «Мокрологское сельское поселение» </w:t>
      </w:r>
      <w:r>
        <w:rPr>
          <w:rFonts w:ascii="Times New Roman" w:hAnsi="Times New Roman"/>
          <w:sz w:val="28"/>
        </w:rPr>
        <w:t>(Приложение № 1).</w:t>
      </w:r>
    </w:p>
    <w:p w14:paraId="41000000">
      <w:pPr>
        <w:numPr>
          <w:ilvl w:val="1"/>
          <w:numId w:val="1"/>
        </w:numPr>
        <w:spacing w:line="240" w:lineRule="auto"/>
        <w:ind w:hanging="284"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Инвентаризация проводится уполномоченным учреждением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своими силами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либо путем заключения муниципального контракта (договора) на выполнение работ (оказание услуг) по проведению инвентаризации земельных участков и мест захоронений с соблюдением требований законодательства Российской Федерации.</w:t>
      </w:r>
    </w:p>
    <w:p w14:paraId="42000000">
      <w:pPr>
        <w:spacing w:line="240" w:lineRule="auto"/>
        <w:ind w:hanging="284"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проведения инвентаризации непосредственно уполномоченным учреждением создается инвентаризационная комиссия, состав которой определяется руководителем уполномоченного учреждения.</w:t>
      </w:r>
    </w:p>
    <w:p w14:paraId="43000000">
      <w:pPr>
        <w:spacing w:line="240" w:lineRule="auto"/>
        <w:ind w:hanging="284"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формировании инвентаризационной комиссии учитываются положения законодательства Российской Федерации о противодействии коррупции в части недопущения конфликта интересов (заинтересованности).</w:t>
      </w:r>
    </w:p>
    <w:p w14:paraId="44000000">
      <w:pPr>
        <w:numPr>
          <w:ilvl w:val="1"/>
          <w:numId w:val="1"/>
        </w:numPr>
        <w:spacing w:line="240" w:lineRule="auto"/>
        <w:ind w:hanging="284"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До начала проведения инвентаризации на кладбище уполномоченное учреждение проверяет наличие книг регистрации захоронений (захоронений урн с прахом), книг регистрации надмогильных сооружений (надгробий) по соответствующему кладбищу.</w:t>
      </w:r>
    </w:p>
    <w:p w14:paraId="45000000">
      <w:pPr>
        <w:numPr>
          <w:ilvl w:val="1"/>
          <w:numId w:val="1"/>
        </w:numPr>
        <w:spacing w:line="240" w:lineRule="auto"/>
        <w:ind w:hanging="284"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Отсутствие книг регистрации захоронений (захоронений урн с прахом) и книг регистрации надмогильных сооружений (надгробий) вследствие их утраты либо неведения основанием для </w:t>
      </w:r>
      <w:r>
        <w:rPr>
          <w:rFonts w:ascii="Times New Roman" w:hAnsi="Times New Roman"/>
          <w:sz w:val="28"/>
        </w:rPr>
        <w:t>непроведения</w:t>
      </w:r>
      <w:r>
        <w:rPr>
          <w:rFonts w:ascii="Times New Roman" w:hAnsi="Times New Roman"/>
          <w:sz w:val="28"/>
        </w:rPr>
        <w:t xml:space="preserve"> инвентаризации мест захоронений не является.</w:t>
      </w:r>
    </w:p>
    <w:p w14:paraId="46000000">
      <w:pPr>
        <w:numPr>
          <w:ilvl w:val="1"/>
          <w:numId w:val="1"/>
        </w:numPr>
        <w:spacing w:line="240" w:lineRule="auto"/>
        <w:ind w:hanging="284"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случае если книги регистрации захоронений (захоронений урн с прахом) находятся на постоянном хранении в муниципальном архиве, уполномоченный орган вправе их истребовать на период проведения инвентаризации мест захоронений из муниципального архива с соблюдением требований законодательства об архивном деле в Российской Федерации.</w:t>
      </w:r>
    </w:p>
    <w:p w14:paraId="47000000">
      <w:pPr>
        <w:numPr>
          <w:ilvl w:val="1"/>
          <w:numId w:val="1"/>
        </w:numPr>
        <w:spacing w:line="240" w:lineRule="auto"/>
        <w:ind w:hanging="284"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ходе проведения инвентаризации мест захоронений проверяется достоверность, полнота и точность внесения данных о произведенных захоронениях в книги регистрации захоронений (захоронений урн с прахом), книги регистрации надмогильных сооружений (надгробий).</w:t>
      </w:r>
    </w:p>
    <w:p w14:paraId="4800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9000000">
      <w:pPr>
        <w:numPr>
          <w:ilvl w:val="0"/>
          <w:numId w:val="1"/>
        </w:numPr>
        <w:spacing w:line="240" w:lineRule="auto"/>
        <w:ind w:hanging="284" w:left="993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Порядок проведения инвентаризации мест захоронений</w:t>
      </w:r>
    </w:p>
    <w:p w14:paraId="4A000000">
      <w:pPr>
        <w:spacing w:line="240" w:lineRule="auto"/>
        <w:ind w:hanging="284" w:left="993"/>
        <w:jc w:val="both"/>
        <w:rPr>
          <w:rFonts w:ascii="Times New Roman" w:hAnsi="Times New Roman"/>
          <w:b w:val="1"/>
          <w:sz w:val="28"/>
        </w:rPr>
      </w:pPr>
    </w:p>
    <w:p w14:paraId="4B000000">
      <w:pPr>
        <w:numPr>
          <w:ilvl w:val="1"/>
          <w:numId w:val="1"/>
        </w:numPr>
        <w:spacing w:line="240" w:lineRule="auto"/>
        <w:ind w:hanging="284" w:left="99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Инвентаризация мест захоронений производится путем изучения сведений данных книг регистрации захоронений (захоронений урн с прахом), книг регистрации надмогильных сооружений (надгробий) и обследования кладбищ, на которых проводится инвентаризация мест захоронений.</w:t>
      </w:r>
    </w:p>
    <w:p w14:paraId="4C000000">
      <w:pPr>
        <w:widowControl w:val="0"/>
        <w:numPr>
          <w:ilvl w:val="1"/>
          <w:numId w:val="1"/>
        </w:numPr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По результатам изучения книг регистрации захоронений (захоронений</w:t>
      </w:r>
      <w:r>
        <w:rPr>
          <w:rFonts w:ascii="Times New Roman" w:hAnsi="Times New Roman"/>
          <w:sz w:val="28"/>
        </w:rPr>
        <w:t xml:space="preserve"> урн с прахом), </w:t>
      </w:r>
      <w:r>
        <w:rPr>
          <w:rFonts w:ascii="Times New Roman" w:hAnsi="Times New Roman"/>
          <w:color w:val="000000"/>
          <w:sz w:val="28"/>
        </w:rPr>
        <w:t>книг регистрации надмогильных сооружений (надгробий), обследования кладбищ представителем инвентаризационной комиссии либо организацией, с которой заключен муниципальный контракт (договор) на выполнение работ по проведению инвентаризации мест захоронений (далее - организация), создается инвентаризационная опись.</w:t>
      </w:r>
    </w:p>
    <w:p w14:paraId="4D000000">
      <w:pPr>
        <w:widowControl w:val="0"/>
        <w:numPr>
          <w:ilvl w:val="1"/>
          <w:numId w:val="1"/>
        </w:numPr>
        <w:tabs>
          <w:tab w:leader="none" w:pos="1373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Сведения о фактическом наличии захоронений на проверяемом кладбище записываются в инвентаризационные описи не менее чем в двух экземплярах (Приложение № 2).</w:t>
      </w:r>
    </w:p>
    <w:p w14:paraId="4E000000">
      <w:pPr>
        <w:widowControl w:val="0"/>
        <w:numPr>
          <w:ilvl w:val="1"/>
          <w:numId w:val="1"/>
        </w:numPr>
        <w:tabs>
          <w:tab w:leader="none" w:pos="1373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Инвентаризационная комиссия обеспечивает полноту и точность внесения в инвентаризационные описи данных о захоронениях, правильность и своевременность оформления материалов инвентаризации.</w:t>
      </w:r>
    </w:p>
    <w:p w14:paraId="4F000000">
      <w:pPr>
        <w:widowControl w:val="0"/>
        <w:numPr>
          <w:ilvl w:val="1"/>
          <w:numId w:val="1"/>
        </w:numPr>
        <w:tabs>
          <w:tab w:leader="none" w:pos="1373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Инвентаризационные описи можно заполнять от руки или с использованием </w:t>
      </w:r>
      <w:r>
        <w:rPr>
          <w:rFonts w:ascii="Times New Roman" w:hAnsi="Times New Roman"/>
          <w:color w:val="000000"/>
          <w:sz w:val="28"/>
        </w:rPr>
        <w:t>средств компьютерной техники. В любом случае в инвентаризационных описях не должно быть помарок и подчисток.</w:t>
      </w:r>
    </w:p>
    <w:p w14:paraId="50000000">
      <w:pPr>
        <w:widowControl w:val="0"/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Исправление ошибок производится во всех экземплярах описей путем зачеркивания неправильных записей и проставления над </w:t>
      </w:r>
      <w:r>
        <w:rPr>
          <w:rFonts w:ascii="Times New Roman" w:hAnsi="Times New Roman"/>
          <w:color w:val="000000"/>
          <w:sz w:val="28"/>
        </w:rPr>
        <w:t>зачеркнутыми</w:t>
      </w:r>
      <w:r>
        <w:rPr>
          <w:rFonts w:ascii="Times New Roman" w:hAnsi="Times New Roman"/>
          <w:color w:val="000000"/>
          <w:sz w:val="28"/>
        </w:rPr>
        <w:t xml:space="preserve"> правильных записей. Исправления должны быть </w:t>
      </w: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говорены и подписаны председателем и членами инвентаризационной комиссии.</w:t>
      </w:r>
    </w:p>
    <w:p w14:paraId="51000000">
      <w:pPr>
        <w:widowControl w:val="0"/>
        <w:numPr>
          <w:ilvl w:val="1"/>
          <w:numId w:val="1"/>
        </w:numPr>
        <w:tabs>
          <w:tab w:leader="none" w:pos="1249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Если инвентаризационная опись составляется на нескольких страницах, то они должны быть пронумерованы и скреплены таких образом, чтобы исключить возможность замены одной или нескольких из них.</w:t>
      </w:r>
    </w:p>
    <w:p w14:paraId="52000000">
      <w:pPr>
        <w:widowControl w:val="0"/>
        <w:numPr>
          <w:ilvl w:val="1"/>
          <w:numId w:val="1"/>
        </w:numPr>
        <w:tabs>
          <w:tab w:leader="none" w:pos="1239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В инвентаризационных описях не допускается оставлять незаполненные строки, на последних страницах незаполненные строки прочеркиваются.</w:t>
      </w:r>
    </w:p>
    <w:p w14:paraId="53000000">
      <w:pPr>
        <w:widowControl w:val="0"/>
        <w:numPr>
          <w:ilvl w:val="1"/>
          <w:numId w:val="1"/>
        </w:numPr>
        <w:tabs>
          <w:tab w:leader="none" w:pos="1373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Не допускается вносить в инвентаризационные </w:t>
      </w:r>
      <w:r>
        <w:rPr>
          <w:rFonts w:ascii="Times New Roman" w:hAnsi="Times New Roman"/>
          <w:color w:val="000000"/>
          <w:sz w:val="28"/>
        </w:rPr>
        <w:t>описи</w:t>
      </w:r>
      <w:r>
        <w:rPr>
          <w:rFonts w:ascii="Times New Roman" w:hAnsi="Times New Roman"/>
          <w:color w:val="000000"/>
          <w:sz w:val="28"/>
        </w:rPr>
        <w:t xml:space="preserve"> данные о захоронениях со слов или только по данным книг регистрации захоронений, без проверки из фактического наличия и сверки с данными регистрационного знака на захоронении (при его отсутствии - с данными на надгробном сооружении (надгробии) или ином ритуальном знаке, если таковые установлены на захоронении).</w:t>
      </w:r>
    </w:p>
    <w:p w14:paraId="54000000">
      <w:pPr>
        <w:widowControl w:val="0"/>
        <w:numPr>
          <w:ilvl w:val="1"/>
          <w:numId w:val="1"/>
        </w:numPr>
        <w:tabs>
          <w:tab w:leader="none" w:pos="1373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Инвентаризационные описи подписывают председатель и члены инвентаризационной комиссии.</w:t>
      </w:r>
    </w:p>
    <w:p w14:paraId="55000000">
      <w:pPr>
        <w:widowControl w:val="0"/>
        <w:numPr>
          <w:ilvl w:val="1"/>
          <w:numId w:val="1"/>
        </w:numPr>
        <w:tabs>
          <w:tab w:leader="none" w:pos="1383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 выявлении захоронений, по которым отсутствуют или указаны неправильные данные в книгах регистрации захоронений, комиссия должна включить в опись данные, установленные в ходе проведения инвентаризации.</w:t>
      </w:r>
    </w:p>
    <w:p w14:paraId="56000000">
      <w:pPr>
        <w:widowControl w:val="0"/>
        <w:numPr>
          <w:ilvl w:val="1"/>
          <w:numId w:val="1"/>
        </w:numPr>
        <w:tabs>
          <w:tab w:leader="none" w:pos="1555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Обследование кладбищ включает определение размера места захоронения, вида места захоронения (одиночное, родственное, семейное (родовое), воинское, почетное, захоронение в нише стены скорби), нумерацию места захоронения, определение координат границ места захоронения, </w:t>
      </w:r>
      <w:r>
        <w:rPr>
          <w:rFonts w:ascii="Times New Roman" w:hAnsi="Times New Roman"/>
          <w:color w:val="000000"/>
          <w:sz w:val="28"/>
        </w:rPr>
        <w:t>фотофиксацию</w:t>
      </w:r>
      <w:r>
        <w:rPr>
          <w:rFonts w:ascii="Times New Roman" w:hAnsi="Times New Roman"/>
          <w:color w:val="000000"/>
          <w:sz w:val="28"/>
        </w:rPr>
        <w:t xml:space="preserve"> места захоронения и надмогильных сооружений (надгробий), расположенных в границах места захоронения.</w:t>
      </w:r>
    </w:p>
    <w:p w14:paraId="57000000">
      <w:pPr>
        <w:widowControl w:val="0"/>
        <w:numPr>
          <w:ilvl w:val="1"/>
          <w:numId w:val="1"/>
        </w:numPr>
        <w:tabs>
          <w:tab w:leader="none" w:pos="1388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Номер захоронения на кладбище соответствует регистрационному знаку захоронения. </w:t>
      </w:r>
    </w:p>
    <w:p w14:paraId="58000000">
      <w:pPr>
        <w:widowControl w:val="0"/>
        <w:numPr>
          <w:ilvl w:val="1"/>
          <w:numId w:val="1"/>
        </w:numPr>
        <w:tabs>
          <w:tab w:leader="none" w:pos="1415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При </w:t>
      </w:r>
      <w:r>
        <w:rPr>
          <w:rFonts w:ascii="Times New Roman" w:hAnsi="Times New Roman"/>
          <w:color w:val="000000"/>
          <w:sz w:val="28"/>
        </w:rPr>
        <w:t xml:space="preserve">инвентаризации захоронений указывается </w:t>
      </w:r>
      <w:r>
        <w:rPr>
          <w:rFonts w:ascii="Times New Roman" w:hAnsi="Times New Roman"/>
          <w:color w:val="000000"/>
          <w:sz w:val="28"/>
        </w:rPr>
        <w:t>(Ф.И.О. умершего, даты его рождения и смерти), содержащимися на могильном сооружении (надгробии) или ином ритуальном знаке, если таковые установлены на захоронении.</w:t>
      </w:r>
    </w:p>
    <w:p w14:paraId="59000000">
      <w:pPr>
        <w:widowControl w:val="0"/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данном случае в инвентаризационной описи в графе «Номер захоронения, указанный на регистрационном знаке захоронения» ставится прочерк «</w:t>
      </w:r>
      <w:r>
        <w:rPr>
          <w:rFonts w:ascii="Times New Roman" w:hAnsi="Times New Roman"/>
          <w:color w:val="000000"/>
          <w:sz w:val="28"/>
        </w:rPr>
        <w:t>-»</w:t>
      </w:r>
      <w:r>
        <w:rPr>
          <w:rFonts w:ascii="Times New Roman" w:hAnsi="Times New Roman"/>
          <w:color w:val="000000"/>
          <w:sz w:val="28"/>
        </w:rPr>
        <w:t>.</w:t>
      </w:r>
    </w:p>
    <w:p w14:paraId="5A000000">
      <w:pPr>
        <w:widowControl w:val="0"/>
        <w:numPr>
          <w:ilvl w:val="1"/>
          <w:numId w:val="1"/>
        </w:numPr>
        <w:tabs>
          <w:tab w:leader="none" w:pos="1415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случае если отсутствует регистрационный знак на захоронении и запись в книгах регистрации захоронений о проведенном захоронении, но имеется какая-либо информация об умершем на могиле, позволяющая идентифицировать захоронение, то в инвентаризационной описи в графах «Номер захоронения, указанный в книге регистрации захоронений (захоронений урн с прахом)» и «Номер захоронения, указанный на регистрационном знаке захоронения» ставится прочерк «-». Иные графы инвентаризационной записи заполняются</w:t>
      </w:r>
      <w:r>
        <w:rPr>
          <w:rFonts w:ascii="Times New Roman" w:hAnsi="Times New Roman"/>
          <w:color w:val="000000"/>
          <w:sz w:val="28"/>
        </w:rPr>
        <w:t xml:space="preserve"> исходя из наличия имеющейся информации о захоронении.</w:t>
      </w:r>
    </w:p>
    <w:p w14:paraId="5B000000">
      <w:pPr>
        <w:widowControl w:val="0"/>
        <w:numPr>
          <w:ilvl w:val="1"/>
          <w:numId w:val="1"/>
        </w:numPr>
        <w:tabs>
          <w:tab w:leader="none" w:pos="1415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случае если в книгах регистрации захоронений и на захоронении отсутствует какая-либо информация об умершем, позволяющая идентифицировать захоронение, то подобное захоронение признается неучтенным, о чем делается соответствующая запись в инвентаризационной описи.</w:t>
      </w:r>
      <w:r>
        <w:rPr>
          <w:rFonts w:ascii="Times New Roman" w:hAnsi="Times New Roman"/>
          <w:color w:val="000000"/>
          <w:sz w:val="28"/>
        </w:rPr>
        <w:t xml:space="preserve"> В графе «Примечание» пишется «неучтенное», в графах «номер захоронения, указанный в книге регистрации захоронений» и «номер </w:t>
      </w:r>
      <w:r>
        <w:rPr>
          <w:rFonts w:ascii="Times New Roman" w:hAnsi="Times New Roman"/>
          <w:color w:val="000000"/>
          <w:sz w:val="28"/>
        </w:rPr>
        <w:t>захоронения, указанный на регистрационном знаке захоронения» ставится прочерк «</w:t>
      </w:r>
      <w:r>
        <w:rPr>
          <w:rFonts w:ascii="Times New Roman" w:hAnsi="Times New Roman"/>
          <w:color w:val="000000"/>
          <w:sz w:val="28"/>
        </w:rPr>
        <w:t>-»</w:t>
      </w:r>
      <w:r>
        <w:rPr>
          <w:rFonts w:ascii="Times New Roman" w:hAnsi="Times New Roman"/>
          <w:color w:val="000000"/>
          <w:sz w:val="28"/>
        </w:rPr>
        <w:t>, иные графы инвентаризационной описи заполняются исходя из наличия имеющейся информации о захоронении.</w:t>
      </w:r>
    </w:p>
    <w:p w14:paraId="5C000000">
      <w:pPr>
        <w:widowControl w:val="0"/>
        <w:numPr>
          <w:ilvl w:val="1"/>
          <w:numId w:val="1"/>
        </w:numPr>
        <w:tabs>
          <w:tab w:leader="none" w:pos="1415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 выявлении нарушений порядка захоронения, по которым отсутствуют или указаны неправильные данные в книге регистрации захоронений, инвентаризационная комиссия должна включить в опись данные, установленные в ходе проведения инвентаризации.</w:t>
      </w:r>
    </w:p>
    <w:p w14:paraId="5D000000">
      <w:pPr>
        <w:widowControl w:val="0"/>
        <w:numPr>
          <w:ilvl w:val="1"/>
          <w:numId w:val="1"/>
        </w:numPr>
        <w:tabs>
          <w:tab w:leader="none" w:pos="1415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случае отсутствия книг регистрации захоронений (захоронений урн с прахом) (книги утеряны, сгорели и т.п.) </w:t>
      </w: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о кладбищу формируются новые книги регистрации захоронений (захоронений урн с прахом), в которые производится запись о захоронениях, произведенных на соответствующем кладбище.</w:t>
      </w:r>
    </w:p>
    <w:p w14:paraId="5E000000">
      <w:pPr>
        <w:widowControl w:val="0"/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инвентаризационной описи захоронений в графе «Примечание» делается запись «восстановление регистрации захоронения» и указывается дата восстановления регистрации согласно внесенной записи в новую книгу регистрации захоронений (захоронений урн с прахом), в графе «номер захоронения, указанный в книге регистрации захоронений (захоронений урн с прахом)» указывается порядковый номер согласно записи в новой книге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регистрации захоронений (захоронений урн с прахом).</w:t>
      </w:r>
    </w:p>
    <w:p w14:paraId="5F000000">
      <w:pPr>
        <w:widowControl w:val="0"/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</w:p>
    <w:p w14:paraId="60000000">
      <w:pPr>
        <w:widowControl w:val="0"/>
        <w:numPr>
          <w:ilvl w:val="0"/>
          <w:numId w:val="1"/>
        </w:numPr>
        <w:tabs>
          <w:tab w:leader="none" w:pos="1276" w:val="left"/>
        </w:tabs>
        <w:spacing w:after="303" w:line="240" w:lineRule="auto"/>
        <w:ind w:hanging="284" w:left="993"/>
        <w:jc w:val="center"/>
        <w:outlineLvl w:val="3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Порядок проведения инвентаризации земельных участков</w:t>
      </w:r>
    </w:p>
    <w:p w14:paraId="61000000">
      <w:pPr>
        <w:widowControl w:val="0"/>
        <w:numPr>
          <w:ilvl w:val="1"/>
          <w:numId w:val="1"/>
        </w:numPr>
        <w:tabs>
          <w:tab w:leader="none" w:pos="1364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При обследовании земельных участков, расположенных в зоне захоронения кладбищ, не занятой местами захоронений, устанавливаются их размеры и координаты, а также производится их нумерация и </w:t>
      </w:r>
      <w:r>
        <w:rPr>
          <w:rFonts w:ascii="Times New Roman" w:hAnsi="Times New Roman"/>
          <w:color w:val="000000"/>
          <w:sz w:val="28"/>
        </w:rPr>
        <w:t>фотофиксация</w:t>
      </w:r>
      <w:r>
        <w:rPr>
          <w:rFonts w:ascii="Times New Roman" w:hAnsi="Times New Roman"/>
          <w:color w:val="000000"/>
          <w:sz w:val="28"/>
        </w:rPr>
        <w:t>.</w:t>
      </w:r>
    </w:p>
    <w:p w14:paraId="62000000">
      <w:pPr>
        <w:widowControl w:val="0"/>
        <w:spacing w:after="330"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Сведения о таких участках вносятся в единую инвентаризационную опись.</w:t>
      </w:r>
    </w:p>
    <w:p w14:paraId="63000000">
      <w:pPr>
        <w:widowControl w:val="0"/>
        <w:numPr>
          <w:ilvl w:val="0"/>
          <w:numId w:val="1"/>
        </w:numPr>
        <w:tabs>
          <w:tab w:leader="none" w:pos="1418" w:val="left"/>
        </w:tabs>
        <w:spacing w:line="240" w:lineRule="auto"/>
        <w:ind w:hanging="284" w:left="993"/>
        <w:jc w:val="center"/>
        <w:outlineLvl w:val="3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Порядок оформления результатов инвентаризации</w:t>
      </w:r>
    </w:p>
    <w:p w14:paraId="64000000">
      <w:pPr>
        <w:widowControl w:val="0"/>
        <w:spacing w:after="299" w:line="240" w:lineRule="auto"/>
        <w:ind w:hanging="284" w:left="993"/>
        <w:jc w:val="center"/>
        <w:outlineLvl w:val="3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мест захоронений</w:t>
      </w:r>
    </w:p>
    <w:p w14:paraId="65000000">
      <w:pPr>
        <w:widowControl w:val="0"/>
        <w:numPr>
          <w:ilvl w:val="1"/>
          <w:numId w:val="1"/>
        </w:numPr>
        <w:tabs>
          <w:tab w:leader="none" w:pos="1364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По результатам проведенной инвентаризации составляется ведомость результатов (Приложение № </w:t>
      </w:r>
      <w:r>
        <w:rPr>
          <w:rFonts w:ascii="Times New Roman" w:hAnsi="Times New Roman"/>
          <w:color w:val="000000"/>
          <w:sz w:val="28"/>
        </w:rPr>
        <w:t>3</w:t>
      </w:r>
      <w:r>
        <w:rPr>
          <w:rFonts w:ascii="Times New Roman" w:hAnsi="Times New Roman"/>
          <w:color w:val="000000"/>
          <w:sz w:val="28"/>
        </w:rPr>
        <w:t>), выявленных в ходе инвентаризации, которая подписывается председателем и членами инвентаризационной комиссии.</w:t>
      </w:r>
    </w:p>
    <w:p w14:paraId="66000000">
      <w:pPr>
        <w:widowControl w:val="0"/>
        <w:numPr>
          <w:ilvl w:val="1"/>
          <w:numId w:val="1"/>
        </w:numPr>
        <w:tabs>
          <w:tab w:leader="none" w:pos="1364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Результаты проведения инвентаризации захоронений на кладбище отражаются в акте (Приложение № </w:t>
      </w:r>
      <w:r>
        <w:rPr>
          <w:rFonts w:ascii="Times New Roman" w:hAnsi="Times New Roman"/>
          <w:color w:val="000000"/>
          <w:sz w:val="28"/>
        </w:rPr>
        <w:t>4</w:t>
      </w:r>
      <w:r>
        <w:rPr>
          <w:rFonts w:ascii="Times New Roman" w:hAnsi="Times New Roman"/>
          <w:color w:val="000000"/>
          <w:sz w:val="28"/>
        </w:rPr>
        <w:t>).</w:t>
      </w:r>
    </w:p>
    <w:p w14:paraId="67000000">
      <w:pPr>
        <w:widowControl w:val="0"/>
        <w:numPr>
          <w:ilvl w:val="1"/>
          <w:numId w:val="1"/>
        </w:numPr>
        <w:tabs>
          <w:tab w:leader="none" w:pos="1566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 данным проведения инвентаризации мест захоронений уполномоченным органом проводятся мероприятия по установлению лиц, ответственных за захоронения, содержащиеся в ненадлежащем состоянии.</w:t>
      </w:r>
    </w:p>
    <w:p w14:paraId="68000000">
      <w:pPr>
        <w:widowControl w:val="0"/>
        <w:numPr>
          <w:ilvl w:val="1"/>
          <w:numId w:val="1"/>
        </w:numPr>
        <w:tabs>
          <w:tab w:leader="none" w:pos="1364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Во время проведения инвентаризации может быть выявлено, что:</w:t>
      </w:r>
    </w:p>
    <w:p w14:paraId="69000000">
      <w:pPr>
        <w:widowControl w:val="0"/>
        <w:numPr>
          <w:ilvl w:val="0"/>
          <w:numId w:val="3"/>
        </w:numPr>
        <w:tabs>
          <w:tab w:leader="none" w:pos="1106" w:val="left"/>
          <w:tab w:leader="none" w:pos="1574" w:val="left"/>
          <w:tab w:leader="none" w:pos="2690" w:val="left"/>
          <w:tab w:leader="none" w:pos="3885" w:val="left"/>
          <w:tab w:leader="none" w:pos="5848" w:val="left"/>
          <w:tab w:leader="none" w:pos="7528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могиле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имеется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надмогильное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сооружение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(надгробие), лицо,</w:t>
      </w:r>
    </w:p>
    <w:p w14:paraId="6A000000">
      <w:pPr>
        <w:widowControl w:val="0"/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ответственное за захоронение, неизвестно;</w:t>
      </w:r>
    </w:p>
    <w:p w14:paraId="6B000000">
      <w:pPr>
        <w:widowControl w:val="0"/>
        <w:numPr>
          <w:ilvl w:val="0"/>
          <w:numId w:val="3"/>
        </w:numPr>
        <w:tabs>
          <w:tab w:leader="none" w:pos="1106" w:val="left"/>
          <w:tab w:leader="none" w:pos="1574" w:val="left"/>
          <w:tab w:leader="none" w:pos="2690" w:val="left"/>
          <w:tab w:leader="none" w:pos="3885" w:val="left"/>
          <w:tab w:leader="none" w:pos="5848" w:val="left"/>
          <w:tab w:leader="none" w:pos="7528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могиле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имеется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надмогильное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сооружение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(надгробие), лицо,</w:t>
      </w:r>
    </w:p>
    <w:p w14:paraId="6C000000">
      <w:pPr>
        <w:widowControl w:val="0"/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ответственное за захоронение, известно, но им не выполняются обязанности по уходу за могилой (надмогильным сооружением);</w:t>
      </w:r>
    </w:p>
    <w:p w14:paraId="6D000000">
      <w:pPr>
        <w:widowControl w:val="0"/>
        <w:numPr>
          <w:ilvl w:val="0"/>
          <w:numId w:val="3"/>
        </w:numPr>
        <w:tabs>
          <w:tab w:leader="none" w:pos="987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 могиле отсутствуют какие-либо надмогильные сооружения (памятники, цоколи, ограды, трафареты с указанием данных по захоронению, кресты и т.д.) либо на надмогильных сооружениях нет сведений о захороненном лице, могила не благоустроена.</w:t>
      </w:r>
    </w:p>
    <w:p w14:paraId="6E000000">
      <w:pPr>
        <w:widowControl w:val="0"/>
        <w:numPr>
          <w:ilvl w:val="1"/>
          <w:numId w:val="1"/>
        </w:numPr>
        <w:tabs>
          <w:tab w:leader="none" w:pos="1566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 выявлении данных случаев уполномоченным органом осуществляются следующие действия:</w:t>
      </w:r>
    </w:p>
    <w:p w14:paraId="6F000000">
      <w:pPr>
        <w:widowControl w:val="0"/>
        <w:numPr>
          <w:ilvl w:val="0"/>
          <w:numId w:val="3"/>
        </w:numPr>
        <w:tabs>
          <w:tab w:leader="none" w:pos="977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данная могила и (или) надмогильное сооружение (надгробие) фиксируются в </w:t>
      </w:r>
      <w:r>
        <w:rPr>
          <w:rFonts w:ascii="Times New Roman" w:hAnsi="Times New Roman"/>
          <w:color w:val="000000"/>
          <w:sz w:val="28"/>
        </w:rPr>
        <w:t xml:space="preserve">книге учета могил и (или) надмогильных сооружений (надгробий), содержание которых не осуществляется (Приложение № </w:t>
      </w:r>
      <w:r>
        <w:rPr>
          <w:rFonts w:ascii="Times New Roman" w:hAnsi="Times New Roman"/>
          <w:color w:val="000000"/>
          <w:sz w:val="28"/>
        </w:rPr>
        <w:t>5</w:t>
      </w:r>
      <w:r>
        <w:rPr>
          <w:rFonts w:ascii="Times New Roman" w:hAnsi="Times New Roman"/>
          <w:color w:val="000000"/>
          <w:sz w:val="28"/>
        </w:rPr>
        <w:t>);</w:t>
      </w:r>
    </w:p>
    <w:p w14:paraId="70000000">
      <w:pPr>
        <w:widowControl w:val="0"/>
        <w:numPr>
          <w:ilvl w:val="0"/>
          <w:numId w:val="3"/>
        </w:numPr>
        <w:tabs>
          <w:tab w:leader="none" w:pos="1022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принимаются меры по установлению лица, ответственного за захоронение;</w:t>
      </w:r>
    </w:p>
    <w:p w14:paraId="71000000">
      <w:pPr>
        <w:widowControl w:val="0"/>
        <w:numPr>
          <w:ilvl w:val="0"/>
          <w:numId w:val="3"/>
        </w:numPr>
        <w:tabs>
          <w:tab w:leader="none" w:pos="997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осуществляется опубликование в информационно-телекоммуникационной сети «Интернет» на официальном сайте </w:t>
      </w:r>
      <w:r>
        <w:rPr>
          <w:rFonts w:ascii="Times New Roman" w:hAnsi="Times New Roman"/>
          <w:color w:val="000000"/>
          <w:sz w:val="28"/>
        </w:rPr>
        <w:t xml:space="preserve"> муниципального</w:t>
      </w:r>
      <w:r>
        <w:rPr>
          <w:rFonts w:ascii="Times New Roman" w:hAnsi="Times New Roman"/>
          <w:color w:val="000000"/>
          <w:sz w:val="28"/>
        </w:rPr>
        <w:t xml:space="preserve"> образования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«Мокрологское сельское поселение»</w:t>
      </w:r>
      <w:r>
        <w:rPr>
          <w:rFonts w:ascii="Times New Roman" w:hAnsi="Times New Roman"/>
          <w:color w:val="000000"/>
          <w:sz w:val="28"/>
        </w:rPr>
        <w:t xml:space="preserve"> информации о бесхозных местах захоронений с целью выявления лиц, ответственных за захоронение (в случае, если ответственное лицо неизвестно или отсутствует информация о нем).</w:t>
      </w:r>
    </w:p>
    <w:p w14:paraId="72000000">
      <w:pPr>
        <w:widowControl w:val="0"/>
        <w:numPr>
          <w:ilvl w:val="1"/>
          <w:numId w:val="1"/>
        </w:numPr>
        <w:tabs>
          <w:tab w:leader="none" w:pos="993" w:val="left"/>
          <w:tab w:leader="none" w:pos="1262" w:val="left"/>
        </w:tabs>
        <w:spacing w:after="330"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случае если бесхозяйная, а также брошенная, неухоженная могила и (или) надмогильное сооружение (надгробие) являются объектом культурного наследия и представляют собой историко-культурную ценность, уполномоченный орган информирует администрацию о необходимости принятия мер по обеспечению их сохранности в соответствии с законодательством об объектах культурного наследия (памятниках истории и культуры).</w:t>
      </w:r>
    </w:p>
    <w:p w14:paraId="73000000">
      <w:pPr>
        <w:widowControl w:val="0"/>
        <w:numPr>
          <w:ilvl w:val="0"/>
          <w:numId w:val="1"/>
        </w:numPr>
        <w:tabs>
          <w:tab w:leader="none" w:pos="993" w:val="left"/>
        </w:tabs>
        <w:spacing w:after="299" w:line="240" w:lineRule="auto"/>
        <w:ind w:hanging="284" w:left="993"/>
        <w:jc w:val="center"/>
        <w:outlineLvl w:val="3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Использование полученной информации</w:t>
      </w:r>
    </w:p>
    <w:p w14:paraId="74000000">
      <w:pPr>
        <w:widowControl w:val="0"/>
        <w:numPr>
          <w:ilvl w:val="1"/>
          <w:numId w:val="1"/>
        </w:numPr>
        <w:tabs>
          <w:tab w:leader="none" w:pos="993" w:val="left"/>
          <w:tab w:leader="none" w:pos="1291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Полученные в результате проведения работ по инвентаризации земельных участков и мест захоронений информация и материалы обрабатываются и систематизируются не позднее трех месяцев с момента приемки результатов работ подготавливается аналитическая информацию, содержащая сведения:</w:t>
      </w:r>
    </w:p>
    <w:p w14:paraId="75000000">
      <w:pPr>
        <w:widowControl w:val="0"/>
        <w:numPr>
          <w:ilvl w:val="0"/>
          <w:numId w:val="4"/>
        </w:numPr>
        <w:tabs>
          <w:tab w:leader="none" w:pos="993" w:val="left"/>
          <w:tab w:leader="none" w:pos="1089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соответствие или несоответствие данных о зарегистрированных местах захоронений, надгробных сооружениях и их видах фактической ситуации с указанием соответствующих фактов.</w:t>
      </w:r>
    </w:p>
    <w:p w14:paraId="76000000">
      <w:pPr>
        <w:widowControl w:val="0"/>
        <w:numPr>
          <w:ilvl w:val="0"/>
          <w:numId w:val="4"/>
        </w:numPr>
        <w:tabs>
          <w:tab w:leader="none" w:pos="993" w:val="left"/>
          <w:tab w:leader="none" w:pos="1134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информация о неблагоустроенных (брошенных) захоронениях.</w:t>
      </w:r>
    </w:p>
    <w:p w14:paraId="77000000">
      <w:pPr>
        <w:widowControl w:val="0"/>
        <w:numPr>
          <w:ilvl w:val="0"/>
          <w:numId w:val="4"/>
        </w:numPr>
        <w:tabs>
          <w:tab w:leader="none" w:pos="993" w:val="left"/>
          <w:tab w:leader="none" w:pos="1134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предложения по планированию территории кладбища.</w:t>
      </w:r>
    </w:p>
    <w:p w14:paraId="78000000">
      <w:pPr>
        <w:widowControl w:val="0"/>
        <w:numPr>
          <w:ilvl w:val="0"/>
          <w:numId w:val="4"/>
        </w:numPr>
        <w:tabs>
          <w:tab w:leader="none" w:pos="993" w:val="left"/>
          <w:tab w:leader="none" w:pos="1083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предложения по созданию на территории кладбища зон захоронений определенных видов.</w:t>
      </w:r>
    </w:p>
    <w:p w14:paraId="79000000">
      <w:pPr>
        <w:widowControl w:val="0"/>
        <w:numPr>
          <w:ilvl w:val="0"/>
          <w:numId w:val="4"/>
        </w:numPr>
        <w:tabs>
          <w:tab w:leader="none" w:pos="993" w:val="left"/>
          <w:tab w:leader="none" w:pos="1134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предложения по закрытию и созданию новых кладбищ.</w:t>
      </w:r>
    </w:p>
    <w:p w14:paraId="7A000000">
      <w:pPr>
        <w:widowControl w:val="0"/>
        <w:numPr>
          <w:ilvl w:val="0"/>
          <w:numId w:val="4"/>
        </w:numPr>
        <w:tabs>
          <w:tab w:leader="none" w:pos="993" w:val="left"/>
          <w:tab w:leader="none" w:pos="1134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другая информация и предложения.</w:t>
      </w:r>
    </w:p>
    <w:p w14:paraId="7B000000">
      <w:pPr>
        <w:widowControl w:val="0"/>
        <w:numPr>
          <w:ilvl w:val="1"/>
          <w:numId w:val="4"/>
        </w:numPr>
        <w:tabs>
          <w:tab w:leader="none" w:pos="993" w:val="left"/>
          <w:tab w:leader="none" w:pos="1267" w:val="left"/>
        </w:tabs>
        <w:spacing w:line="240" w:lineRule="auto"/>
        <w:ind w:hanging="284" w:left="993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Аналитическая информация, указанная в </w:t>
      </w:r>
      <w:r>
        <w:rPr>
          <w:rFonts w:ascii="Times New Roman" w:hAnsi="Times New Roman"/>
          <w:color w:val="000000"/>
          <w:sz w:val="28"/>
        </w:rPr>
        <w:t xml:space="preserve">пункте 6.1 </w:t>
      </w:r>
      <w:r>
        <w:rPr>
          <w:rFonts w:ascii="Times New Roman" w:hAnsi="Times New Roman"/>
          <w:color w:val="000000"/>
          <w:sz w:val="28"/>
        </w:rPr>
        <w:t xml:space="preserve">настоящего Порядка, хранится в администрации муниципального образования </w:t>
      </w:r>
      <w:r>
        <w:rPr>
          <w:rFonts w:ascii="Times New Roman" w:hAnsi="Times New Roman"/>
          <w:color w:val="000000"/>
          <w:sz w:val="28"/>
        </w:rPr>
        <w:t>«Мокрологское сельское поселение»</w:t>
      </w:r>
    </w:p>
    <w:p w14:paraId="7C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7D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7E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7F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80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81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82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83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84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85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86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87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88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89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8A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8B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8C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8D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8E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8F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90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91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92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93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94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95000000">
      <w:pPr>
        <w:widowControl w:val="0"/>
        <w:tabs>
          <w:tab w:leader="none" w:pos="993" w:val="left"/>
          <w:tab w:leader="none" w:pos="1267" w:val="left"/>
        </w:tabs>
        <w:spacing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9600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Приложение № 1 </w:t>
      </w:r>
    </w:p>
    <w:p w14:paraId="9700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 Порядку проведения инвентаризации</w:t>
      </w:r>
    </w:p>
    <w:p w14:paraId="9800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земельных участков и мест захоронений </w:t>
      </w:r>
    </w:p>
    <w:p w14:paraId="9900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на кладбищах муниципального образования </w:t>
      </w:r>
    </w:p>
    <w:p w14:paraId="9A00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«Мокролгское сельское поселение»</w:t>
      </w:r>
    </w:p>
    <w:p w14:paraId="9B00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</w:p>
    <w:p w14:paraId="9C00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</w:p>
    <w:p w14:paraId="9D00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</w:p>
    <w:p w14:paraId="9E000000">
      <w:pPr>
        <w:widowControl w:val="0"/>
        <w:tabs>
          <w:tab w:leader="none" w:pos="8330" w:val="left"/>
        </w:tabs>
        <w:spacing w:line="240" w:lineRule="auto"/>
        <w:ind w:hanging="4111" w:left="482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РАСПОРЯЖЕНИЕ</w:t>
      </w:r>
    </w:p>
    <w:p w14:paraId="9F000000">
      <w:pPr>
        <w:widowControl w:val="0"/>
        <w:tabs>
          <w:tab w:leader="none" w:pos="8330" w:val="left"/>
        </w:tabs>
        <w:spacing w:line="240" w:lineRule="auto"/>
        <w:ind w:hanging="4111" w:left="4820"/>
        <w:jc w:val="center"/>
        <w:rPr>
          <w:rFonts w:ascii="Times New Roman" w:hAnsi="Times New Roman"/>
          <w:color w:val="000000"/>
          <w:sz w:val="28"/>
        </w:rPr>
      </w:pPr>
    </w:p>
    <w:p w14:paraId="A0000000">
      <w:pPr>
        <w:widowControl w:val="0"/>
        <w:tabs>
          <w:tab w:leader="none" w:pos="5360" w:val="left"/>
        </w:tabs>
        <w:spacing w:line="240" w:lineRule="auto"/>
        <w:ind w:hanging="3191" w:left="3900" w:right="402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от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№</w:t>
      </w:r>
    </w:p>
    <w:p w14:paraId="A1000000">
      <w:pPr>
        <w:widowControl w:val="0"/>
        <w:tabs>
          <w:tab w:leader="none" w:pos="5360" w:val="left"/>
        </w:tabs>
        <w:spacing w:line="240" w:lineRule="auto"/>
        <w:ind w:hanging="3191" w:left="3900" w:right="4020"/>
        <w:jc w:val="both"/>
        <w:rPr>
          <w:rFonts w:ascii="Times New Roman" w:hAnsi="Times New Roman"/>
          <w:color w:val="000000"/>
          <w:sz w:val="28"/>
        </w:rPr>
      </w:pPr>
    </w:p>
    <w:p w14:paraId="A2000000">
      <w:pPr>
        <w:widowControl w:val="0"/>
        <w:spacing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 проведении инвентаризации земельных</w:t>
      </w:r>
    </w:p>
    <w:p w14:paraId="A3000000">
      <w:pPr>
        <w:widowControl w:val="0"/>
        <w:spacing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участков и мест захоронений на кладбище</w:t>
      </w:r>
    </w:p>
    <w:p w14:paraId="A4000000">
      <w:pPr>
        <w:widowControl w:val="0"/>
        <w:spacing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муниципального образования </w:t>
      </w:r>
    </w:p>
    <w:p w14:paraId="A5000000">
      <w:pPr>
        <w:widowControl w:val="0"/>
        <w:spacing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«Мокрологское сельское поселение»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A6000000">
      <w:pPr>
        <w:widowControl w:val="0"/>
        <w:spacing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расположенном</w:t>
      </w:r>
      <w:r>
        <w:rPr>
          <w:rFonts w:ascii="Times New Roman" w:hAnsi="Times New Roman"/>
          <w:color w:val="000000"/>
          <w:sz w:val="28"/>
        </w:rPr>
        <w:t>___________________</w:t>
      </w:r>
    </w:p>
    <w:p w14:paraId="A7000000">
      <w:pPr>
        <w:widowControl w:val="0"/>
        <w:spacing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соответствии с порядком инвентаризации земельных участков и мест захоронений на кладбищах муниципального образований (наименование муниципального образования), утвержденным постановлением администрации муниципального образования (наименование</w:t>
      </w:r>
    </w:p>
    <w:p w14:paraId="A8000000">
      <w:pPr>
        <w:widowControl w:val="0"/>
        <w:tabs>
          <w:tab w:leader="underscore" w:pos="4670" w:val="left"/>
          <w:tab w:leader="underscore" w:pos="5856" w:val="left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муниципального образования) </w:t>
      </w:r>
      <w:r>
        <w:rPr>
          <w:rFonts w:ascii="Times New Roman" w:hAnsi="Times New Roman"/>
          <w:color w:val="000000"/>
          <w:sz w:val="28"/>
        </w:rPr>
        <w:t>от</w:t>
      </w:r>
      <w:r>
        <w:rPr>
          <w:rFonts w:ascii="Times New Roman" w:hAnsi="Times New Roman"/>
          <w:color w:val="000000"/>
          <w:sz w:val="28"/>
        </w:rPr>
        <w:t>______________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№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,</w:t>
      </w:r>
    </w:p>
    <w:p w14:paraId="A9000000">
      <w:pPr>
        <w:widowControl w:val="0"/>
        <w:numPr>
          <w:ilvl w:val="0"/>
          <w:numId w:val="5"/>
        </w:numPr>
        <w:tabs>
          <w:tab w:leader="none" w:pos="1054" w:val="left"/>
          <w:tab w:leader="underscore" w:pos="5285" w:val="left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Создать инвентаризационную комиссию для проведения инвентаризации земельных участков и захоронений, произведенных на территории кладбища, расположенного по адресу:</w:t>
      </w:r>
      <w:r>
        <w:rPr>
          <w:rFonts w:ascii="Times New Roman" w:hAnsi="Times New Roman"/>
          <w:color w:val="000000"/>
          <w:sz w:val="28"/>
        </w:rPr>
        <w:t>____________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>, в следующем составе:</w:t>
      </w:r>
    </w:p>
    <w:p w14:paraId="AA000000">
      <w:pPr>
        <w:widowControl w:val="0"/>
        <w:tabs>
          <w:tab w:leader="underscore" w:pos="1747" w:val="left"/>
        </w:tabs>
        <w:spacing w:after="278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Председатель</w:t>
      </w:r>
      <w:r>
        <w:rPr>
          <w:rFonts w:ascii="Times New Roman" w:hAnsi="Times New Roman"/>
          <w:color w:val="000000"/>
          <w:sz w:val="28"/>
        </w:rPr>
        <w:tab/>
      </w:r>
    </w:p>
    <w:p w14:paraId="AB000000">
      <w:pPr>
        <w:widowControl w:val="0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Члены комиссии</w:t>
      </w:r>
    </w:p>
    <w:p w14:paraId="AC000000">
      <w:pPr>
        <w:widowControl w:val="0"/>
        <w:spacing w:line="240" w:lineRule="auto"/>
        <w:ind w:hanging="2061" w:left="2770" w:right="852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(должность, фамилия, имя, </w:t>
      </w:r>
      <w:r>
        <w:rPr>
          <w:rFonts w:ascii="Times New Roman" w:hAnsi="Times New Roman"/>
          <w:color w:val="000000"/>
          <w:sz w:val="28"/>
        </w:rPr>
        <w:t xml:space="preserve"> о</w:t>
      </w:r>
      <w:r>
        <w:rPr>
          <w:rFonts w:ascii="Times New Roman" w:hAnsi="Times New Roman"/>
          <w:color w:val="000000"/>
          <w:sz w:val="28"/>
        </w:rPr>
        <w:t>тчество)</w:t>
      </w:r>
    </w:p>
    <w:p w14:paraId="AD000000">
      <w:pPr>
        <w:widowControl w:val="0"/>
        <w:spacing w:line="240" w:lineRule="auto"/>
        <w:ind w:hanging="1671" w:left="238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(должность, фамилия, имя, отчество)</w:t>
      </w:r>
    </w:p>
    <w:p w14:paraId="AE000000">
      <w:pPr>
        <w:widowControl w:val="0"/>
        <w:numPr>
          <w:ilvl w:val="0"/>
          <w:numId w:val="5"/>
        </w:numPr>
        <w:tabs>
          <w:tab w:leader="none" w:pos="618" w:val="left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Инвентаризации подлежат земельные участки и места захоронения на кладбище.</w:t>
      </w:r>
    </w:p>
    <w:p w14:paraId="AF000000">
      <w:pPr>
        <w:widowControl w:val="0"/>
        <w:numPr>
          <w:ilvl w:val="0"/>
          <w:numId w:val="5"/>
        </w:numPr>
        <w:tabs>
          <w:tab w:leader="none" w:pos="618" w:val="left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Установить сроки проведения инвентаризации:</w:t>
      </w:r>
    </w:p>
    <w:p w14:paraId="B0000000">
      <w:pPr>
        <w:widowControl w:val="0"/>
        <w:tabs>
          <w:tab w:leader="none" w:pos="618" w:val="left"/>
          <w:tab w:leader="underscore" w:pos="8147" w:val="left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4.Контроль за исполнением настоящего распоряжения возложить </w:t>
      </w:r>
      <w:r>
        <w:rPr>
          <w:rFonts w:ascii="Times New Roman" w:hAnsi="Times New Roman"/>
          <w:color w:val="000000"/>
          <w:sz w:val="28"/>
        </w:rPr>
        <w:t>на_____.</w:t>
      </w:r>
    </w:p>
    <w:p w14:paraId="B1000000">
      <w:pPr>
        <w:widowControl w:val="0"/>
        <w:tabs>
          <w:tab w:leader="none" w:pos="618" w:val="left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5.Распоряжение вступает в силу с момента подписания.</w:t>
      </w:r>
    </w:p>
    <w:p w14:paraId="B2000000">
      <w:pPr>
        <w:widowControl w:val="0"/>
        <w:tabs>
          <w:tab w:leader="none" w:pos="618" w:val="left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B3000000">
      <w:pPr>
        <w:widowControl w:val="0"/>
        <w:tabs>
          <w:tab w:leader="none" w:pos="618" w:val="left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B4000000">
      <w:pPr>
        <w:widowControl w:val="0"/>
        <w:spacing w:line="240" w:lineRule="auto"/>
        <w:ind w:firstLine="429" w:left="28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Глава администрации</w:t>
      </w:r>
      <w:r>
        <w:rPr>
          <w:rFonts w:ascii="Times New Roman" w:hAnsi="Times New Roman"/>
          <w:color w:val="000000"/>
          <w:sz w:val="28"/>
        </w:rPr>
        <w:t xml:space="preserve">                                   ________________</w:t>
      </w:r>
    </w:p>
    <w:p w14:paraId="B5000000">
      <w:pPr>
        <w:widowControl w:val="0"/>
        <w:spacing w:line="240" w:lineRule="auto"/>
        <w:ind w:hanging="4631" w:left="5340"/>
        <w:jc w:val="both"/>
        <w:rPr>
          <w:rFonts w:ascii="Times New Roman" w:hAnsi="Times New Roman"/>
          <w:sz w:val="28"/>
        </w:rPr>
      </w:pPr>
    </w:p>
    <w:p w14:paraId="B6000000">
      <w:pPr>
        <w:widowControl w:val="0"/>
        <w:spacing w:line="240" w:lineRule="auto"/>
        <w:ind w:hanging="4631" w:left="5340"/>
        <w:jc w:val="both"/>
        <w:rPr>
          <w:rFonts w:ascii="Times New Roman" w:hAnsi="Times New Roman"/>
          <w:sz w:val="28"/>
        </w:rPr>
      </w:pPr>
    </w:p>
    <w:p w14:paraId="B7000000">
      <w:pPr>
        <w:widowControl w:val="0"/>
        <w:spacing w:line="240" w:lineRule="auto"/>
        <w:ind w:hanging="4631" w:left="5340"/>
        <w:jc w:val="both"/>
        <w:rPr>
          <w:rFonts w:ascii="Times New Roman" w:hAnsi="Times New Roman"/>
          <w:sz w:val="28"/>
        </w:rPr>
      </w:pPr>
    </w:p>
    <w:p w14:paraId="B8000000">
      <w:pPr>
        <w:widowControl w:val="0"/>
        <w:spacing w:line="240" w:lineRule="auto"/>
        <w:ind w:hanging="4631" w:left="5340"/>
        <w:jc w:val="both"/>
        <w:rPr>
          <w:rFonts w:ascii="Times New Roman" w:hAnsi="Times New Roman"/>
          <w:sz w:val="28"/>
        </w:rPr>
      </w:pPr>
    </w:p>
    <w:p w14:paraId="B9000000">
      <w:pPr>
        <w:widowControl w:val="0"/>
        <w:spacing w:line="240" w:lineRule="auto"/>
        <w:ind w:hanging="4631" w:left="5340"/>
        <w:jc w:val="both"/>
        <w:rPr>
          <w:rFonts w:ascii="Times New Roman" w:hAnsi="Times New Roman"/>
          <w:sz w:val="28"/>
        </w:rPr>
      </w:pPr>
    </w:p>
    <w:p w14:paraId="BA000000">
      <w:pPr>
        <w:widowControl w:val="0"/>
        <w:spacing w:line="240" w:lineRule="auto"/>
        <w:ind w:hanging="4631" w:left="5340"/>
        <w:jc w:val="both"/>
        <w:rPr>
          <w:rFonts w:ascii="Times New Roman" w:hAnsi="Times New Roman"/>
          <w:sz w:val="28"/>
        </w:rPr>
      </w:pPr>
    </w:p>
    <w:p w14:paraId="BB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</w:p>
    <w:p w14:paraId="BC00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Приложение № 2</w:t>
      </w:r>
    </w:p>
    <w:p w14:paraId="BD00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к Порядку проведения инвентаризации</w:t>
      </w:r>
    </w:p>
    <w:p w14:paraId="BE00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земельных участков и мест захоронений </w:t>
      </w:r>
    </w:p>
    <w:p w14:paraId="BF00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на кладбищах муниципального </w:t>
      </w:r>
    </w:p>
    <w:p w14:paraId="C000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образования </w:t>
      </w:r>
      <w:r>
        <w:rPr>
          <w:rFonts w:ascii="Times New Roman" w:hAnsi="Times New Roman"/>
          <w:color w:val="000000"/>
          <w:sz w:val="28"/>
        </w:rPr>
        <w:t>Мокрологское</w:t>
      </w:r>
      <w:r>
        <w:rPr>
          <w:rFonts w:ascii="Times New Roman" w:hAnsi="Times New Roman"/>
          <w:color w:val="000000"/>
          <w:sz w:val="28"/>
        </w:rPr>
        <w:t xml:space="preserve"> сельское поселение</w:t>
      </w:r>
    </w:p>
    <w:p w14:paraId="C1000000">
      <w:pPr>
        <w:widowControl w:val="0"/>
        <w:spacing w:line="240" w:lineRule="auto"/>
        <w:ind w:firstLine="649" w:left="60"/>
        <w:jc w:val="both"/>
        <w:rPr>
          <w:rFonts w:ascii="Times New Roman" w:hAnsi="Times New Roman"/>
          <w:color w:val="000000"/>
          <w:sz w:val="28"/>
        </w:rPr>
      </w:pPr>
    </w:p>
    <w:p w14:paraId="C2000000">
      <w:pPr>
        <w:widowControl w:val="0"/>
        <w:spacing w:line="240" w:lineRule="auto"/>
        <w:ind w:firstLine="649" w:left="60"/>
        <w:jc w:val="both"/>
        <w:rPr>
          <w:rFonts w:ascii="Times New Roman" w:hAnsi="Times New Roman"/>
          <w:color w:val="000000"/>
          <w:sz w:val="28"/>
        </w:rPr>
      </w:pPr>
    </w:p>
    <w:p w14:paraId="C3000000">
      <w:pPr>
        <w:widowControl w:val="0"/>
        <w:spacing w:line="240" w:lineRule="auto"/>
        <w:ind w:firstLine="649" w:left="6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Инвентаризационная опись захоронений, произведенных в период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проведения инвентаризации на кладбище</w:t>
      </w:r>
    </w:p>
    <w:p w14:paraId="C4000000">
      <w:pPr>
        <w:widowControl w:val="0"/>
        <w:spacing w:line="240" w:lineRule="auto"/>
        <w:ind w:hanging="4631" w:left="5340"/>
        <w:jc w:val="both"/>
        <w:rPr>
          <w:rFonts w:ascii="Times New Roman" w:hAnsi="Times New Roman"/>
          <w:sz w:val="28"/>
        </w:rPr>
      </w:pPr>
    </w:p>
    <w:p w14:paraId="C5000000">
      <w:pPr>
        <w:widowControl w:val="0"/>
        <w:spacing w:line="240" w:lineRule="auto"/>
        <w:ind w:hanging="4631" w:left="5340"/>
        <w:jc w:val="both"/>
        <w:rPr>
          <w:rFonts w:ascii="Times New Roman" w:hAnsi="Times New Roman"/>
          <w:sz w:val="28"/>
        </w:rPr>
      </w:pPr>
    </w:p>
    <w:tbl>
      <w:tblPr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08"/>
        <w:gridCol w:w="1708"/>
        <w:gridCol w:w="1517"/>
        <w:gridCol w:w="1150"/>
        <w:gridCol w:w="1985"/>
        <w:gridCol w:w="911"/>
        <w:gridCol w:w="802"/>
        <w:gridCol w:w="1243"/>
      </w:tblGrid>
      <w:tr>
        <w:trPr>
          <w:trHeight w:hRule="atLeast" w:val="15"/>
        </w:trPr>
        <w:tc>
          <w:tcPr>
            <w:tcW w:type="dxa" w:w="608"/>
            <w:tcMar>
              <w:top w:type="dxa" w:w="0"/>
              <w:left w:type="dxa" w:w="0"/>
              <w:bottom w:type="dxa" w:w="0"/>
              <w:right w:type="dxa" w:w="0"/>
            </w:tcMar>
          </w:tcPr>
          <w:p w14:paraId="C6000000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708"/>
            <w:tcMar>
              <w:top w:type="dxa" w:w="0"/>
              <w:left w:type="dxa" w:w="0"/>
              <w:bottom w:type="dxa" w:w="0"/>
              <w:right w:type="dxa" w:w="0"/>
            </w:tcMar>
          </w:tcPr>
          <w:p w14:paraId="C7000000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517"/>
            <w:tcMar>
              <w:top w:type="dxa" w:w="0"/>
              <w:left w:type="dxa" w:w="0"/>
              <w:bottom w:type="dxa" w:w="0"/>
              <w:right w:type="dxa" w:w="0"/>
            </w:tcMar>
          </w:tcPr>
          <w:p w14:paraId="C8000000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50"/>
            <w:tcMar>
              <w:top w:type="dxa" w:w="0"/>
              <w:left w:type="dxa" w:w="0"/>
              <w:bottom w:type="dxa" w:w="0"/>
              <w:right w:type="dxa" w:w="0"/>
            </w:tcMar>
          </w:tcPr>
          <w:p w14:paraId="C9000000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985"/>
            <w:tcMar>
              <w:top w:type="dxa" w:w="0"/>
              <w:left w:type="dxa" w:w="0"/>
              <w:bottom w:type="dxa" w:w="0"/>
              <w:right w:type="dxa" w:w="0"/>
            </w:tcMar>
          </w:tcPr>
          <w:p w14:paraId="CA000000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1"/>
            <w:tcMar>
              <w:top w:type="dxa" w:w="0"/>
              <w:left w:type="dxa" w:w="0"/>
              <w:bottom w:type="dxa" w:w="0"/>
              <w:right w:type="dxa" w:w="0"/>
            </w:tcMar>
          </w:tcPr>
          <w:p w14:paraId="CB000000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802"/>
            <w:tcMar>
              <w:top w:type="dxa" w:w="0"/>
              <w:left w:type="dxa" w:w="0"/>
              <w:bottom w:type="dxa" w:w="0"/>
              <w:right w:type="dxa" w:w="0"/>
            </w:tcMar>
          </w:tcPr>
          <w:p w14:paraId="CC000000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243"/>
            <w:tcMar>
              <w:top w:type="dxa" w:w="0"/>
              <w:left w:type="dxa" w:w="0"/>
              <w:bottom w:type="dxa" w:w="0"/>
              <w:right w:type="dxa" w:w="0"/>
            </w:tcMar>
          </w:tcPr>
          <w:p w14:paraId="CD000000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6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49"/>
              <w:bottom w:type="dxa" w:w="0"/>
              <w:right w:type="dxa" w:w="149"/>
            </w:tcMar>
          </w:tcPr>
          <w:p w14:paraId="CE000000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N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>/</w:t>
            </w:r>
            <w:r>
              <w:rPr>
                <w:rFonts w:ascii="Times New Roman" w:hAnsi="Times New Roman"/>
                <w:sz w:val="28"/>
              </w:rPr>
              <w:t>п</w:t>
            </w:r>
          </w:p>
        </w:tc>
        <w:tc>
          <w:tcPr>
            <w:tcW w:type="dxa" w:w="17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49"/>
              <w:bottom w:type="dxa" w:w="0"/>
              <w:right w:type="dxa" w:w="149"/>
            </w:tcMar>
          </w:tcPr>
          <w:p w14:paraId="CF000000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Захоронения (указываются Ф.И.О. умершего, дата его смерти, краткое описание захоронения, позволяющее его идентифицировать)</w:t>
            </w:r>
          </w:p>
        </w:tc>
        <w:tc>
          <w:tcPr>
            <w:tcW w:type="dxa" w:w="1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49"/>
              <w:bottom w:type="dxa" w:w="0"/>
              <w:right w:type="dxa" w:w="149"/>
            </w:tcMar>
          </w:tcPr>
          <w:p w14:paraId="D0000000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Наличие надгробного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</w:rPr>
              <w:t>сооружения (надгробия) либо иного ритуального знака на захоронении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</w:rPr>
              <w:t>(его краткое описание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</w:rPr>
              <w:t>с указанием материала, из которого изготовлено надгробное сооружение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</w:rPr>
              <w:t>(надгробие) или иной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</w:rPr>
              <w:t>ритуальный знак)</w:t>
            </w:r>
          </w:p>
        </w:tc>
        <w:tc>
          <w:tcPr>
            <w:tcW w:type="dxa" w:w="11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49"/>
              <w:bottom w:type="dxa" w:w="0"/>
              <w:right w:type="dxa" w:w="149"/>
            </w:tcMar>
          </w:tcPr>
          <w:p w14:paraId="D1000000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Номер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</w:rPr>
              <w:t>захоронения,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</w:rPr>
              <w:t>указанный в книге регистрации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</w:rPr>
              <w:t>захоронений (захоронений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</w:rPr>
              <w:t>урн с прахом)</w:t>
            </w:r>
          </w:p>
        </w:tc>
        <w:tc>
          <w:tcPr>
            <w:tcW w:type="dxa" w:w="19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49"/>
              <w:bottom w:type="dxa" w:w="0"/>
              <w:right w:type="dxa" w:w="149"/>
            </w:tcMar>
          </w:tcPr>
          <w:p w14:paraId="D2000000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Номер захоронения,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</w:rPr>
              <w:t>указанный на регистрационном знаке захоронения</w:t>
            </w:r>
          </w:p>
        </w:tc>
        <w:tc>
          <w:tcPr>
            <w:tcW w:type="dxa" w:w="91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3000000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Номер земельного участка, расположенного в зоне захоронения кладбища, не занятого местами захоронения</w:t>
            </w:r>
          </w:p>
        </w:tc>
        <w:tc>
          <w:tcPr>
            <w:tcW w:type="dxa" w:w="8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49"/>
              <w:bottom w:type="dxa" w:w="0"/>
              <w:right w:type="dxa" w:w="149"/>
            </w:tcMar>
          </w:tcPr>
          <w:p w14:paraId="D4000000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Размер земельного участка, расположенного в зоне захоронения кладбища, не занятого местами захоронения</w:t>
            </w:r>
          </w:p>
        </w:tc>
        <w:tc>
          <w:tcPr>
            <w:tcW w:type="dxa" w:w="12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5000000">
            <w:pPr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Примечание</w:t>
            </w:r>
          </w:p>
        </w:tc>
      </w:tr>
    </w:tbl>
    <w:p w14:paraId="D6000000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Итого по описи: количество захоронений, зарегистрированных в книге регистрации захоронений (захоронений урн с прахом)</w:t>
      </w:r>
      <w:r>
        <w:rPr>
          <w:rFonts w:ascii="Times New Roman" w:hAnsi="Times New Roman"/>
          <w:spacing w:val="2"/>
          <w:sz w:val="28"/>
        </w:rPr>
        <w:br/>
      </w:r>
      <w:r>
        <w:rPr>
          <w:rFonts w:ascii="Times New Roman" w:hAnsi="Times New Roman"/>
          <w:spacing w:val="2"/>
          <w:sz w:val="28"/>
        </w:rPr>
        <w:t>________________________________________</w:t>
      </w:r>
    </w:p>
    <w:p w14:paraId="D7000000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(прописью)</w:t>
      </w:r>
    </w:p>
    <w:p w14:paraId="D8000000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количество захоронений, не зарегистрированных в книге регистрации захоронений (захоронений урн с прахом) </w:t>
      </w:r>
      <w:r>
        <w:rPr>
          <w:rFonts w:ascii="Times New Roman" w:hAnsi="Times New Roman"/>
          <w:spacing w:val="2"/>
          <w:sz w:val="28"/>
        </w:rPr>
        <w:br/>
      </w:r>
      <w:r>
        <w:rPr>
          <w:rFonts w:ascii="Times New Roman" w:hAnsi="Times New Roman"/>
          <w:spacing w:val="2"/>
          <w:sz w:val="28"/>
        </w:rPr>
        <w:t>_______________________________________</w:t>
      </w:r>
    </w:p>
    <w:p w14:paraId="D9000000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(прописью)</w:t>
      </w:r>
    </w:p>
    <w:p w14:paraId="DA000000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Председатель комиссии: </w:t>
      </w:r>
      <w:r>
        <w:rPr>
          <w:rFonts w:ascii="Times New Roman" w:hAnsi="Times New Roman"/>
          <w:spacing w:val="2"/>
          <w:sz w:val="28"/>
        </w:rPr>
        <w:br/>
      </w:r>
      <w:r>
        <w:rPr>
          <w:rFonts w:ascii="Times New Roman" w:hAnsi="Times New Roman"/>
          <w:spacing w:val="2"/>
          <w:sz w:val="28"/>
        </w:rPr>
        <w:t>____________________________________________________</w:t>
      </w:r>
    </w:p>
    <w:p w14:paraId="DB000000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(должность, подпись, расшифровка подписи)</w:t>
      </w:r>
    </w:p>
    <w:p w14:paraId="DC000000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Члены комиссии: </w:t>
      </w:r>
      <w:r>
        <w:rPr>
          <w:rFonts w:ascii="Times New Roman" w:hAnsi="Times New Roman"/>
          <w:spacing w:val="2"/>
          <w:sz w:val="28"/>
        </w:rPr>
        <w:br/>
      </w:r>
      <w:r>
        <w:rPr>
          <w:rFonts w:ascii="Times New Roman" w:hAnsi="Times New Roman"/>
          <w:spacing w:val="2"/>
          <w:sz w:val="28"/>
        </w:rPr>
        <w:t>___________________________________________________________</w:t>
      </w:r>
    </w:p>
    <w:p w14:paraId="DD000000">
      <w:pPr>
        <w:spacing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(должность, подпись, расшифровка подписи)</w:t>
      </w:r>
      <w:r>
        <w:rPr>
          <w:rFonts w:ascii="Times New Roman" w:hAnsi="Times New Roman"/>
          <w:spacing w:val="2"/>
          <w:sz w:val="28"/>
        </w:rPr>
        <w:br/>
      </w:r>
      <w:r>
        <w:rPr>
          <w:rFonts w:ascii="Times New Roman" w:hAnsi="Times New Roman"/>
          <w:spacing w:val="2"/>
          <w:sz w:val="28"/>
        </w:rPr>
        <w:t>___________________________________________________________</w:t>
      </w:r>
    </w:p>
    <w:p w14:paraId="DE000000">
      <w:pPr>
        <w:spacing w:line="240" w:lineRule="auto"/>
        <w:ind w:firstLine="709"/>
        <w:jc w:val="both"/>
        <w:rPr>
          <w:rFonts w:ascii="Times New Roman" w:hAnsi="Times New Roman"/>
          <w:color w:val="2D2D2D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(должность, подпись, расшифровка подписи)</w:t>
      </w:r>
    </w:p>
    <w:p w14:paraId="DF000000">
      <w:pPr>
        <w:widowControl w:val="0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E0000000">
      <w:pPr>
        <w:widowControl w:val="0"/>
        <w:spacing w:after="244" w:line="240" w:lineRule="auto"/>
        <w:ind w:hanging="4611" w:left="5320"/>
        <w:jc w:val="both"/>
        <w:rPr>
          <w:rFonts w:ascii="Times New Roman" w:hAnsi="Times New Roman"/>
          <w:color w:val="000000"/>
          <w:sz w:val="28"/>
        </w:rPr>
      </w:pPr>
    </w:p>
    <w:p w14:paraId="E1000000">
      <w:pPr>
        <w:widowControl w:val="0"/>
        <w:spacing w:after="244" w:line="240" w:lineRule="auto"/>
        <w:ind w:hanging="4611" w:left="5320"/>
        <w:jc w:val="both"/>
        <w:rPr>
          <w:rFonts w:ascii="Times New Roman" w:hAnsi="Times New Roman"/>
          <w:color w:val="000000"/>
          <w:sz w:val="28"/>
        </w:rPr>
      </w:pPr>
    </w:p>
    <w:p w14:paraId="E2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</w:p>
    <w:p w14:paraId="E3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</w:p>
    <w:p w14:paraId="E4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</w:p>
    <w:p w14:paraId="E5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</w:p>
    <w:p w14:paraId="E6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</w:p>
    <w:p w14:paraId="E7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</w:p>
    <w:p w14:paraId="E8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</w:p>
    <w:p w14:paraId="E9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</w:p>
    <w:p w14:paraId="EA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</w:p>
    <w:p w14:paraId="EB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</w:p>
    <w:p w14:paraId="EC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</w:p>
    <w:p w14:paraId="ED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</w:p>
    <w:p w14:paraId="EE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</w:p>
    <w:p w14:paraId="EF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</w:p>
    <w:p w14:paraId="F0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</w:p>
    <w:p w14:paraId="F1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</w:p>
    <w:p w14:paraId="F2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</w:p>
    <w:p w14:paraId="F3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</w:p>
    <w:p w14:paraId="F4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</w:p>
    <w:p w14:paraId="F5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</w:p>
    <w:p w14:paraId="F6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</w:p>
    <w:p w14:paraId="F700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Приложение № </w:t>
      </w:r>
      <w:r>
        <w:rPr>
          <w:rFonts w:ascii="Times New Roman" w:hAnsi="Times New Roman"/>
          <w:color w:val="000000"/>
          <w:sz w:val="28"/>
        </w:rPr>
        <w:t>3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F800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 Порядку проведения инвентаризации</w:t>
      </w:r>
    </w:p>
    <w:p w14:paraId="F900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земельных участков и мест захоронений </w:t>
      </w:r>
    </w:p>
    <w:p w14:paraId="FA00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 кладбищах муниципального образования</w:t>
      </w:r>
    </w:p>
    <w:p w14:paraId="FB00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Мокрологское</w:t>
      </w:r>
      <w:r>
        <w:rPr>
          <w:rFonts w:ascii="Times New Roman" w:hAnsi="Times New Roman"/>
          <w:color w:val="000000"/>
          <w:sz w:val="28"/>
        </w:rPr>
        <w:t xml:space="preserve"> сельское поселение</w:t>
      </w:r>
    </w:p>
    <w:p w14:paraId="FC00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</w:p>
    <w:p w14:paraId="FD000000">
      <w:pPr>
        <w:widowControl w:val="0"/>
        <w:spacing w:after="240" w:line="240" w:lineRule="auto"/>
        <w:ind w:firstLine="567" w:left="142"/>
        <w:jc w:val="center"/>
        <w:rPr>
          <w:rFonts w:ascii="Times New Roman" w:hAnsi="Times New Roman"/>
          <w:color w:val="000000"/>
          <w:sz w:val="28"/>
        </w:rPr>
      </w:pPr>
    </w:p>
    <w:p w14:paraId="FE000000">
      <w:pPr>
        <w:widowControl w:val="0"/>
        <w:spacing w:after="240" w:line="240" w:lineRule="auto"/>
        <w:ind w:firstLine="567" w:left="142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Ведомость</w:t>
      </w:r>
    </w:p>
    <w:p w14:paraId="FF000000">
      <w:pPr>
        <w:widowControl w:val="0"/>
        <w:spacing w:line="240" w:lineRule="auto"/>
        <w:ind w:firstLine="689" w:left="2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результатов, выявленных инвентаризацией</w:t>
      </w:r>
    </w:p>
    <w:p w14:paraId="00010000">
      <w:pPr>
        <w:widowControl w:val="0"/>
        <w:spacing w:line="240" w:lineRule="auto"/>
        <w:ind w:hanging="4631" w:left="5340"/>
        <w:jc w:val="both"/>
        <w:rPr>
          <w:rFonts w:ascii="Times New Roman" w:hAnsi="Times New Roman"/>
          <w:sz w:val="28"/>
        </w:rPr>
      </w:pPr>
    </w:p>
    <w:p w14:paraId="01010000">
      <w:pPr>
        <w:widowControl w:val="0"/>
        <w:spacing w:line="240" w:lineRule="auto"/>
        <w:ind w:hanging="4631" w:left="5340"/>
        <w:jc w:val="both"/>
        <w:rPr>
          <w:rFonts w:ascii="Times New Roman" w:hAnsi="Times New Roman"/>
          <w:sz w:val="28"/>
        </w:rPr>
      </w:pPr>
    </w:p>
    <w:tbl>
      <w:tblPr>
        <w:tblInd w:type="dxa" w:w="1084"/>
        <w:tblLayout w:type="fixed"/>
        <w:tblCellMar>
          <w:top w:type="dxa" w:w="0"/>
          <w:left w:type="dxa" w:w="10"/>
          <w:bottom w:type="dxa" w:w="0"/>
          <w:right w:type="dxa" w:w="10"/>
        </w:tblCellMar>
      </w:tblPr>
      <w:tblGrid>
        <w:gridCol w:w="629"/>
        <w:gridCol w:w="1236"/>
        <w:gridCol w:w="3571"/>
        <w:gridCol w:w="3403"/>
      </w:tblGrid>
      <w:tr>
        <w:trPr>
          <w:trHeight w:hRule="exact" w:val="494"/>
        </w:trPr>
        <w:tc>
          <w:tcPr>
            <w:tcW w:type="dxa" w:w="629"/>
            <w:vMerge w:val="restart"/>
            <w:tcBorders>
              <w:top w:color="000000" w:sz="4" w:val="single"/>
              <w:lef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02010000">
            <w:pPr>
              <w:widowControl w:val="0"/>
              <w:spacing w:after="60" w:line="240" w:lineRule="auto"/>
              <w:ind w:firstLine="509" w:left="200"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N</w:t>
            </w:r>
          </w:p>
          <w:p w14:paraId="03010000">
            <w:pPr>
              <w:widowControl w:val="0"/>
              <w:spacing w:before="60" w:line="240" w:lineRule="auto"/>
              <w:ind w:firstLine="509" w:left="200"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</w:t>
            </w:r>
            <w:r>
              <w:rPr>
                <w:rFonts w:ascii="Times New Roman" w:hAnsi="Times New Roman"/>
                <w:color w:val="000000"/>
                <w:sz w:val="28"/>
              </w:rPr>
              <w:t>/п</w:t>
            </w:r>
          </w:p>
        </w:tc>
        <w:tc>
          <w:tcPr>
            <w:tcW w:type="dxa" w:w="1236"/>
            <w:vMerge w:val="restart"/>
            <w:tcBorders>
              <w:top w:color="000000" w:sz="4" w:val="single"/>
              <w:lef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04010000">
            <w:pPr>
              <w:widowControl w:val="0"/>
              <w:spacing w:after="6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Виды</w:t>
            </w:r>
          </w:p>
          <w:p w14:paraId="05010000">
            <w:pPr>
              <w:widowControl w:val="0"/>
              <w:spacing w:before="6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захоронений</w:t>
            </w:r>
          </w:p>
        </w:tc>
        <w:tc>
          <w:tcPr>
            <w:tcW w:type="dxa" w:w="6974"/>
            <w:gridSpan w:val="2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06010000">
            <w:pPr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Результат, выявленный инвентаризацией</w:t>
            </w:r>
          </w:p>
        </w:tc>
      </w:tr>
      <w:tr>
        <w:trPr>
          <w:trHeight w:hRule="exact" w:val="1320"/>
        </w:trPr>
        <w:tc>
          <w:tcPr>
            <w:tcW w:type="dxa" w:w="629"/>
            <w:gridSpan w:val="1"/>
            <w:vMerge w:val="continue"/>
            <w:tcBorders>
              <w:top w:color="000000" w:sz="4" w:val="single"/>
              <w:lef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/>
        </w:tc>
        <w:tc>
          <w:tcPr>
            <w:tcW w:type="dxa" w:w="1236"/>
            <w:gridSpan w:val="1"/>
            <w:vMerge w:val="continue"/>
            <w:tcBorders>
              <w:top w:color="000000" w:sz="4" w:val="single"/>
              <w:lef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/>
        </w:tc>
        <w:tc>
          <w:tcPr>
            <w:tcW w:type="dxa" w:w="3571"/>
            <w:tcBorders>
              <w:top w:color="000000" w:sz="4" w:val="single"/>
              <w:lef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07010000">
            <w:pPr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количество захоронений, учтенных в книге регистрации захоронений</w:t>
            </w:r>
          </w:p>
          <w:p w14:paraId="08010000">
            <w:pPr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(захоронений урн с прахом)</w:t>
            </w:r>
          </w:p>
        </w:tc>
        <w:tc>
          <w:tcPr>
            <w:tcW w:type="dxa" w:w="340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09010000">
            <w:pPr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количество захоронений, не учтенных в книге регистрации захоронений</w:t>
            </w:r>
          </w:p>
          <w:p w14:paraId="0A010000">
            <w:pPr>
              <w:widowControl w:val="0"/>
              <w:spacing w:line="240" w:lineRule="auto"/>
              <w:ind w:firstLine="429" w:left="280"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(захоронений урн с прахом)</w:t>
            </w:r>
          </w:p>
        </w:tc>
      </w:tr>
      <w:tr>
        <w:trPr>
          <w:trHeight w:hRule="exact" w:val="494"/>
        </w:trPr>
        <w:tc>
          <w:tcPr>
            <w:tcW w:type="dxa" w:w="62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bottom"/>
          </w:tcPr>
          <w:p w14:paraId="0B010000">
            <w:pPr>
              <w:widowControl w:val="0"/>
              <w:spacing w:line="240" w:lineRule="auto"/>
              <w:ind w:firstLine="429" w:left="280"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11</w:t>
            </w:r>
          </w:p>
        </w:tc>
        <w:tc>
          <w:tcPr>
            <w:tcW w:type="dxa" w:w="123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bottom"/>
          </w:tcPr>
          <w:p w14:paraId="0C010000">
            <w:pPr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</w:t>
            </w:r>
          </w:p>
        </w:tc>
        <w:tc>
          <w:tcPr>
            <w:tcW w:type="dxa" w:w="3571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0D010000">
            <w:pPr>
              <w:widowControl w:val="0"/>
              <w:spacing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</w:t>
            </w:r>
          </w:p>
        </w:tc>
        <w:tc>
          <w:tcPr>
            <w:tcW w:type="dxa" w:w="34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0E010000">
            <w:pPr>
              <w:widowControl w:val="0"/>
              <w:spacing w:line="240" w:lineRule="auto"/>
              <w:ind w:firstLine="709"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4</w:t>
            </w:r>
          </w:p>
        </w:tc>
      </w:tr>
    </w:tbl>
    <w:p w14:paraId="0F010000">
      <w:pPr>
        <w:widowControl w:val="0"/>
        <w:spacing w:line="240" w:lineRule="auto"/>
        <w:ind w:hanging="4631" w:left="5340"/>
        <w:jc w:val="both"/>
        <w:rPr>
          <w:rFonts w:ascii="Times New Roman" w:hAnsi="Times New Roman"/>
          <w:sz w:val="28"/>
        </w:rPr>
      </w:pPr>
    </w:p>
    <w:p w14:paraId="10010000">
      <w:pPr>
        <w:widowControl w:val="0"/>
        <w:spacing w:line="240" w:lineRule="auto"/>
        <w:ind w:hanging="4631" w:left="5340"/>
        <w:jc w:val="both"/>
        <w:rPr>
          <w:rFonts w:ascii="Times New Roman" w:hAnsi="Times New Roman"/>
          <w:sz w:val="28"/>
        </w:rPr>
      </w:pPr>
    </w:p>
    <w:p w14:paraId="11010000">
      <w:pPr>
        <w:widowControl w:val="0"/>
        <w:spacing w:line="240" w:lineRule="auto"/>
        <w:ind w:hanging="4631" w:left="5340"/>
        <w:jc w:val="both"/>
        <w:rPr>
          <w:rFonts w:ascii="Times New Roman" w:hAnsi="Times New Roman"/>
          <w:sz w:val="28"/>
        </w:rPr>
      </w:pPr>
    </w:p>
    <w:p w14:paraId="12010000">
      <w:pPr>
        <w:widowControl w:val="0"/>
        <w:spacing w:line="240" w:lineRule="auto"/>
        <w:ind w:hanging="4631" w:left="5340"/>
        <w:jc w:val="both"/>
        <w:rPr>
          <w:rFonts w:ascii="Times New Roman" w:hAnsi="Times New Roman"/>
          <w:sz w:val="28"/>
        </w:rPr>
      </w:pPr>
    </w:p>
    <w:p w14:paraId="13010000">
      <w:pPr>
        <w:widowControl w:val="0"/>
        <w:spacing w:line="240" w:lineRule="auto"/>
        <w:ind w:hanging="4631" w:left="5340"/>
        <w:jc w:val="both"/>
        <w:rPr>
          <w:rFonts w:ascii="Times New Roman" w:hAnsi="Times New Roman"/>
          <w:sz w:val="28"/>
        </w:rPr>
      </w:pPr>
    </w:p>
    <w:p w14:paraId="14010000">
      <w:pPr>
        <w:widowControl w:val="0"/>
        <w:spacing w:line="240" w:lineRule="auto"/>
        <w:ind w:hanging="4631" w:left="5340"/>
        <w:jc w:val="both"/>
        <w:rPr>
          <w:rFonts w:ascii="Times New Roman" w:hAnsi="Times New Roman"/>
          <w:sz w:val="28"/>
        </w:rPr>
      </w:pPr>
    </w:p>
    <w:p w14:paraId="15010000">
      <w:pPr>
        <w:widowControl w:val="0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16010000">
      <w:pPr>
        <w:widowControl w:val="0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17010000">
      <w:pPr>
        <w:widowControl w:val="0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18010000">
      <w:pPr>
        <w:widowControl w:val="0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Председатель комиссии:</w:t>
      </w:r>
      <w:r>
        <w:rPr>
          <w:rFonts w:ascii="Times New Roman" w:hAnsi="Times New Roman"/>
          <w:color w:val="000000"/>
          <w:sz w:val="28"/>
        </w:rPr>
        <w:t>_____________________</w:t>
      </w:r>
    </w:p>
    <w:p w14:paraId="19010000">
      <w:pPr>
        <w:widowControl w:val="0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1A010000">
      <w:pPr>
        <w:widowControl w:val="0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_________________________________________________________________________</w:t>
      </w:r>
    </w:p>
    <w:p w14:paraId="1B010000">
      <w:pPr>
        <w:widowControl w:val="0"/>
        <w:spacing w:line="240" w:lineRule="auto"/>
        <w:ind w:hanging="1511" w:left="222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(должность, подпись, расшифровка подписи)</w:t>
      </w:r>
    </w:p>
    <w:p w14:paraId="1C010000">
      <w:pPr>
        <w:widowControl w:val="0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Члены комиссии:</w:t>
      </w:r>
    </w:p>
    <w:p w14:paraId="1D010000">
      <w:pPr>
        <w:widowControl w:val="0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1E010000">
      <w:pPr>
        <w:widowControl w:val="0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1F010000">
      <w:pPr>
        <w:widowControl w:val="0"/>
        <w:spacing w:line="240" w:lineRule="auto"/>
        <w:ind w:hanging="1511" w:left="222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(должность, подпись, расшифровка подписи)</w:t>
      </w:r>
    </w:p>
    <w:p w14:paraId="20010000">
      <w:pPr>
        <w:widowControl w:val="0"/>
        <w:spacing w:line="240" w:lineRule="auto"/>
        <w:ind w:hanging="1511" w:left="222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(должность, подпись, расшифровка подписи)</w:t>
      </w:r>
    </w:p>
    <w:p w14:paraId="21010000">
      <w:pPr>
        <w:widowControl w:val="0"/>
        <w:spacing w:line="240" w:lineRule="auto"/>
        <w:ind w:hanging="1511" w:left="222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(должность, подпись, расшифровка подписи)</w:t>
      </w:r>
    </w:p>
    <w:p w14:paraId="22010000">
      <w:pPr>
        <w:widowControl w:val="0"/>
        <w:spacing w:line="240" w:lineRule="auto"/>
        <w:ind w:hanging="1511" w:left="222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(должность, подпись, расшифровка подписи)</w:t>
      </w:r>
    </w:p>
    <w:p w14:paraId="23010000">
      <w:pPr>
        <w:widowControl w:val="0"/>
        <w:spacing w:line="240" w:lineRule="auto"/>
        <w:ind w:hanging="4631" w:left="5340"/>
        <w:jc w:val="both"/>
        <w:rPr>
          <w:rFonts w:ascii="Times New Roman" w:hAnsi="Times New Roman"/>
          <w:sz w:val="28"/>
        </w:rPr>
      </w:pPr>
    </w:p>
    <w:p w14:paraId="24010000">
      <w:pPr>
        <w:widowControl w:val="0"/>
        <w:spacing w:line="240" w:lineRule="auto"/>
        <w:ind w:hanging="4631" w:left="5340"/>
        <w:jc w:val="both"/>
        <w:rPr>
          <w:rFonts w:ascii="Times New Roman" w:hAnsi="Times New Roman"/>
          <w:sz w:val="28"/>
        </w:rPr>
      </w:pPr>
    </w:p>
    <w:p w14:paraId="25010000">
      <w:pPr>
        <w:widowControl w:val="0"/>
        <w:spacing w:line="240" w:lineRule="auto"/>
        <w:ind w:hanging="4631" w:left="5340"/>
        <w:jc w:val="both"/>
        <w:rPr>
          <w:rFonts w:ascii="Times New Roman" w:hAnsi="Times New Roman"/>
          <w:sz w:val="28"/>
        </w:rPr>
      </w:pPr>
    </w:p>
    <w:p w14:paraId="26010000">
      <w:pPr>
        <w:widowControl w:val="0"/>
        <w:spacing w:line="240" w:lineRule="auto"/>
        <w:ind w:hanging="4631" w:left="5340"/>
        <w:jc w:val="both"/>
        <w:rPr>
          <w:rFonts w:ascii="Times New Roman" w:hAnsi="Times New Roman"/>
          <w:sz w:val="28"/>
        </w:rPr>
      </w:pPr>
    </w:p>
    <w:p w14:paraId="2701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Приложение №4 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2801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 Порядку проведения инвентаризации</w:t>
      </w:r>
    </w:p>
    <w:p w14:paraId="2901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земельных участков и мест захоронений </w:t>
      </w:r>
    </w:p>
    <w:p w14:paraId="2A01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 кладбищах муниципального образования</w:t>
      </w:r>
    </w:p>
    <w:p w14:paraId="2B01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Мокрологское</w:t>
      </w:r>
      <w:r>
        <w:rPr>
          <w:rFonts w:ascii="Times New Roman" w:hAnsi="Times New Roman"/>
          <w:color w:val="000000"/>
          <w:sz w:val="28"/>
        </w:rPr>
        <w:t xml:space="preserve"> сельское поселение</w:t>
      </w:r>
    </w:p>
    <w:p w14:paraId="2C01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</w:p>
    <w:p w14:paraId="2D010000">
      <w:pPr>
        <w:widowControl w:val="0"/>
        <w:spacing w:after="64" w:line="240" w:lineRule="auto"/>
        <w:ind w:hanging="4571" w:left="5280"/>
        <w:jc w:val="both"/>
        <w:rPr>
          <w:rFonts w:ascii="Times New Roman" w:hAnsi="Times New Roman"/>
          <w:color w:val="000000"/>
          <w:sz w:val="28"/>
        </w:rPr>
      </w:pPr>
    </w:p>
    <w:p w14:paraId="2E010000">
      <w:pPr>
        <w:widowControl w:val="0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2F010000">
      <w:pPr>
        <w:widowControl w:val="0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Председатель комиссии:</w:t>
      </w:r>
    </w:p>
    <w:p w14:paraId="30010000">
      <w:pPr>
        <w:widowControl w:val="0"/>
        <w:spacing w:line="240" w:lineRule="auto"/>
        <w:ind w:hanging="191" w:left="90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(должность, подпись, расшифровка подписи)</w:t>
      </w:r>
    </w:p>
    <w:p w14:paraId="31010000">
      <w:pPr>
        <w:widowControl w:val="0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Члены комиссии:</w:t>
      </w:r>
    </w:p>
    <w:p w14:paraId="32010000">
      <w:pPr>
        <w:widowControl w:val="0"/>
        <w:spacing w:line="240" w:lineRule="auto"/>
        <w:ind w:hanging="191" w:left="90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(должность, подпись, расшифровка подписи)</w:t>
      </w:r>
    </w:p>
    <w:p w14:paraId="33010000">
      <w:pPr>
        <w:widowControl w:val="0"/>
        <w:spacing w:line="240" w:lineRule="auto"/>
        <w:ind w:hanging="191" w:left="90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(должность, подпись, расшифровка подписи)</w:t>
      </w:r>
    </w:p>
    <w:p w14:paraId="34010000">
      <w:pPr>
        <w:widowControl w:val="0"/>
        <w:spacing w:line="240" w:lineRule="auto"/>
        <w:ind w:hanging="191" w:left="90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(должность, подпись, расшифровка подписи)</w:t>
      </w:r>
    </w:p>
    <w:p w14:paraId="35010000">
      <w:pPr>
        <w:widowControl w:val="0"/>
        <w:spacing w:line="240" w:lineRule="auto"/>
        <w:ind w:hanging="191" w:left="90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(должность, подпись, расшифровка подписи)</w:t>
      </w:r>
    </w:p>
    <w:p w14:paraId="36010000">
      <w:pPr>
        <w:widowControl w:val="0"/>
        <w:spacing w:line="240" w:lineRule="auto"/>
        <w:ind w:hanging="4631" w:left="5340"/>
        <w:jc w:val="both"/>
        <w:rPr>
          <w:rFonts w:ascii="Times New Roman" w:hAnsi="Times New Roman"/>
          <w:sz w:val="28"/>
        </w:rPr>
      </w:pPr>
    </w:p>
    <w:p w14:paraId="37010000">
      <w:pPr>
        <w:widowControl w:val="0"/>
        <w:spacing w:line="240" w:lineRule="auto"/>
        <w:ind w:hanging="4631" w:left="5340"/>
        <w:jc w:val="both"/>
        <w:rPr>
          <w:rFonts w:ascii="Times New Roman" w:hAnsi="Times New Roman"/>
          <w:sz w:val="28"/>
        </w:rPr>
      </w:pPr>
    </w:p>
    <w:p w14:paraId="38010000">
      <w:pPr>
        <w:widowControl w:val="0"/>
        <w:spacing w:line="240" w:lineRule="auto"/>
        <w:ind w:hanging="4631" w:left="5340"/>
        <w:jc w:val="center"/>
        <w:rPr>
          <w:rFonts w:ascii="Times New Roman" w:hAnsi="Times New Roman"/>
          <w:sz w:val="28"/>
        </w:rPr>
      </w:pPr>
    </w:p>
    <w:p w14:paraId="39010000">
      <w:pPr>
        <w:widowControl w:val="0"/>
        <w:tabs>
          <w:tab w:leader="none" w:pos="8330" w:val="left"/>
        </w:tabs>
        <w:spacing w:line="240" w:lineRule="auto"/>
        <w:ind w:firstLine="709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Акт</w:t>
      </w:r>
    </w:p>
    <w:p w14:paraId="3A010000">
      <w:pPr>
        <w:widowControl w:val="0"/>
        <w:tabs>
          <w:tab w:leader="none" w:pos="8330" w:val="left"/>
        </w:tabs>
        <w:spacing w:line="240" w:lineRule="auto"/>
        <w:ind w:firstLine="709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 результатах проведения инвентаризации захоронений на кладбище</w:t>
      </w:r>
    </w:p>
    <w:p w14:paraId="3B010000">
      <w:pPr>
        <w:widowControl w:val="0"/>
        <w:tabs>
          <w:tab w:leader="none" w:pos="8330" w:val="left"/>
        </w:tabs>
        <w:spacing w:line="240" w:lineRule="auto"/>
        <w:ind w:firstLine="709"/>
        <w:jc w:val="center"/>
        <w:rPr>
          <w:rFonts w:ascii="Times New Roman" w:hAnsi="Times New Roman"/>
          <w:color w:val="000000"/>
          <w:sz w:val="28"/>
        </w:rPr>
      </w:pPr>
    </w:p>
    <w:p w14:paraId="3C010000">
      <w:pPr>
        <w:widowControl w:val="0"/>
        <w:tabs>
          <w:tab w:leader="none" w:pos="8330" w:val="left"/>
        </w:tabs>
        <w:spacing w:line="240" w:lineRule="auto"/>
        <w:ind w:firstLine="709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(название кладбища, место его расположения)</w:t>
      </w:r>
    </w:p>
    <w:p w14:paraId="3D010000">
      <w:pPr>
        <w:widowControl w:val="0"/>
        <w:tabs>
          <w:tab w:leader="none" w:pos="8330" w:val="left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3E010000">
      <w:pPr>
        <w:widowControl w:val="0"/>
        <w:tabs>
          <w:tab w:leader="none" w:pos="8330" w:val="left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ходе проведения инвентаризации захоронений на кладбище комиссией в составе</w:t>
      </w:r>
    </w:p>
    <w:p w14:paraId="3F010000">
      <w:pPr>
        <w:widowControl w:val="0"/>
        <w:tabs>
          <w:tab w:leader="none" w:pos="8330" w:val="left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010000">
      <w:pPr>
        <w:widowControl w:val="0"/>
        <w:tabs>
          <w:tab w:leader="none" w:pos="8330" w:val="left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выявлено:</w:t>
      </w:r>
    </w:p>
    <w:p w14:paraId="41010000">
      <w:pPr>
        <w:widowControl w:val="0"/>
        <w:tabs>
          <w:tab w:leader="none" w:pos="8330" w:val="left"/>
        </w:tabs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3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4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5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6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7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8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901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Приложение № </w:t>
      </w:r>
      <w:r>
        <w:rPr>
          <w:rFonts w:ascii="Times New Roman" w:hAnsi="Times New Roman"/>
          <w:color w:val="000000"/>
          <w:sz w:val="28"/>
        </w:rPr>
        <w:t>5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4A01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 Порядку проведения инвентаризации</w:t>
      </w:r>
    </w:p>
    <w:p w14:paraId="4B01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земельных участков и мест захоронений </w:t>
      </w:r>
    </w:p>
    <w:p w14:paraId="4C01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 кладбищах муниципального образования</w:t>
      </w:r>
    </w:p>
    <w:p w14:paraId="4D010000">
      <w:pPr>
        <w:widowControl w:val="0"/>
        <w:tabs>
          <w:tab w:leader="none" w:pos="8330" w:val="left"/>
        </w:tabs>
        <w:spacing w:line="240" w:lineRule="auto"/>
        <w:ind w:hanging="4111" w:left="48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Мокрологское</w:t>
      </w:r>
      <w:r>
        <w:rPr>
          <w:rFonts w:ascii="Times New Roman" w:hAnsi="Times New Roman"/>
          <w:color w:val="000000"/>
          <w:sz w:val="28"/>
        </w:rPr>
        <w:t xml:space="preserve"> сельское поселение</w:t>
      </w:r>
    </w:p>
    <w:p w14:paraId="4E010000">
      <w:pPr>
        <w:widowControl w:val="0"/>
        <w:tabs>
          <w:tab w:leader="none" w:pos="8330" w:val="left"/>
        </w:tabs>
        <w:spacing w:line="240" w:lineRule="auto"/>
        <w:ind w:hanging="4111" w:left="482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</w:p>
    <w:p w14:paraId="4F010000">
      <w:pPr>
        <w:widowControl w:val="0"/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50010000">
      <w:pPr>
        <w:widowControl w:val="0"/>
        <w:spacing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КНИГА</w:t>
      </w:r>
    </w:p>
    <w:p w14:paraId="51010000">
      <w:pPr>
        <w:widowControl w:val="0"/>
        <w:spacing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УЧЕТА МОГИЛ И (ИЛИ) НАДМОГИЛЬНЫХ СООРУЖЕНИЙ</w:t>
      </w:r>
    </w:p>
    <w:p w14:paraId="52010000">
      <w:pPr>
        <w:widowControl w:val="0"/>
        <w:spacing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(НАДГРОБИЙ), СОДЕРЖАНИЕ КОТОРЫХ НЕ ОСУЩЕСТВЛЯЕТСЯ</w:t>
      </w:r>
    </w:p>
    <w:p w14:paraId="53010000">
      <w:pPr>
        <w:widowControl w:val="0"/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</w:t>
      </w:r>
    </w:p>
    <w:p w14:paraId="54010000">
      <w:pPr>
        <w:widowControl w:val="0"/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(наименование кладбища)</w:t>
      </w:r>
    </w:p>
    <w:p w14:paraId="55010000">
      <w:pPr>
        <w:widowControl w:val="0"/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03"/>
        <w:gridCol w:w="708"/>
        <w:gridCol w:w="708"/>
        <w:gridCol w:w="992"/>
        <w:gridCol w:w="709"/>
        <w:gridCol w:w="851"/>
        <w:gridCol w:w="1134"/>
        <w:gridCol w:w="850"/>
        <w:gridCol w:w="1275"/>
        <w:gridCol w:w="992"/>
        <w:gridCol w:w="993"/>
      </w:tblGrid>
      <w:tr>
        <w:trPr>
          <w:trHeight w:hRule="atLeast" w:val="4706"/>
        </w:trPr>
        <w:tc>
          <w:tcPr>
            <w:tcW w:type="dxa" w:w="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6010000">
            <w:pPr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N</w:t>
            </w:r>
          </w:p>
          <w:p w14:paraId="57010000">
            <w:pPr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>/</w:t>
            </w:r>
            <w:r>
              <w:rPr>
                <w:rFonts w:ascii="Times New Roman" w:hAnsi="Times New Roman"/>
                <w:sz w:val="28"/>
              </w:rPr>
              <w:t>п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10000">
            <w:pPr>
              <w:widowControl w:val="0"/>
              <w:spacing w:line="240" w:lineRule="auto"/>
              <w:ind w:firstLine="596" w:left="113" w:right="11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Инвентарный номер места</w:t>
            </w:r>
          </w:p>
          <w:p w14:paraId="59010000">
            <w:pPr>
              <w:widowControl w:val="0"/>
              <w:spacing w:line="240" w:lineRule="auto"/>
              <w:ind w:firstLine="596" w:left="113" w:right="11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захоронения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A010000">
            <w:pPr>
              <w:widowControl w:val="0"/>
              <w:spacing w:line="240" w:lineRule="auto"/>
              <w:ind w:firstLine="596" w:left="113" w:right="11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Инвентарный номер могилы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B010000">
            <w:pPr>
              <w:widowControl w:val="0"/>
              <w:spacing w:line="240" w:lineRule="auto"/>
              <w:ind w:firstLine="596" w:left="113" w:right="11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Данные </w:t>
            </w:r>
            <w:r>
              <w:rPr>
                <w:rFonts w:ascii="Times New Roman" w:hAnsi="Times New Roman"/>
                <w:sz w:val="28"/>
              </w:rPr>
              <w:t>захороненного</w:t>
            </w:r>
            <w:r>
              <w:rPr>
                <w:rFonts w:ascii="Times New Roman" w:hAnsi="Times New Roman"/>
                <w:sz w:val="28"/>
              </w:rPr>
              <w:t>: Ф.И.О., дата рождения, дата смерти (если имеются сведения)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C010000">
            <w:pPr>
              <w:widowControl w:val="0"/>
              <w:spacing w:line="240" w:lineRule="auto"/>
              <w:ind w:firstLine="596" w:left="113" w:right="11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 сектора, ряда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D010000">
            <w:pPr>
              <w:widowControl w:val="0"/>
              <w:spacing w:line="240" w:lineRule="auto"/>
              <w:ind w:firstLine="596" w:left="113" w:right="11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Регистрационный номер захоронения (если имеются сведения)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E010000">
            <w:pPr>
              <w:widowControl w:val="0"/>
              <w:spacing w:line="240" w:lineRule="auto"/>
              <w:ind w:firstLine="596" w:left="113" w:right="11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Вид захоронения (одиночное, родственное, семейное, </w:t>
            </w:r>
            <w:r>
              <w:rPr>
                <w:rFonts w:ascii="Times New Roman" w:hAnsi="Times New Roman"/>
                <w:sz w:val="28"/>
              </w:rPr>
              <w:t>почетное</w:t>
            </w:r>
            <w:r>
              <w:rPr>
                <w:rFonts w:ascii="Times New Roman" w:hAnsi="Times New Roman"/>
                <w:sz w:val="28"/>
              </w:rPr>
              <w:t>,в</w:t>
            </w:r>
            <w:r>
              <w:rPr>
                <w:rFonts w:ascii="Times New Roman" w:hAnsi="Times New Roman"/>
                <w:sz w:val="28"/>
              </w:rPr>
              <w:t>оинское</w:t>
            </w:r>
            <w:r>
              <w:rPr>
                <w:rFonts w:ascii="Times New Roman" w:hAnsi="Times New Roman"/>
                <w:sz w:val="28"/>
              </w:rPr>
              <w:t>, братское (общее))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F010000">
            <w:pPr>
              <w:widowControl w:val="0"/>
              <w:spacing w:line="240" w:lineRule="auto"/>
              <w:ind w:firstLine="596" w:left="113" w:right="11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Размер места захоронения, </w:t>
            </w:r>
            <w:r>
              <w:rPr>
                <w:rFonts w:ascii="Times New Roman" w:hAnsi="Times New Roman"/>
                <w:sz w:val="28"/>
              </w:rPr>
              <w:t>м</w:t>
            </w:r>
            <w:r>
              <w:rPr>
                <w:rFonts w:ascii="Times New Roman" w:hAnsi="Times New Roman"/>
                <w:sz w:val="28"/>
              </w:rPr>
              <w:t>x</w:t>
            </w:r>
            <w:r>
              <w:rPr>
                <w:rFonts w:ascii="Times New Roman" w:hAnsi="Times New Roman"/>
                <w:sz w:val="28"/>
              </w:rPr>
              <w:t>м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0010000">
            <w:pPr>
              <w:widowControl w:val="0"/>
              <w:spacing w:line="240" w:lineRule="auto"/>
              <w:ind w:firstLine="596" w:left="113" w:right="11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Наличие и состояние надмогильных сооружений (памятники, цоколи, ограды, трафареты, кресты и т.п.)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1010000">
            <w:pPr>
              <w:widowControl w:val="0"/>
              <w:spacing w:line="240" w:lineRule="auto"/>
              <w:ind w:firstLine="596" w:left="113" w:right="11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Дата установки трафарета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2010000">
            <w:pPr>
              <w:widowControl w:val="0"/>
              <w:spacing w:line="240" w:lineRule="auto"/>
              <w:ind w:firstLine="596" w:left="113" w:right="11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лице, ответственном за захоронение, либо ином лице, ухаживающем за захоронением</w:t>
            </w:r>
          </w:p>
        </w:tc>
      </w:tr>
      <w:tr>
        <w:tc>
          <w:tcPr>
            <w:tcW w:type="dxa" w:w="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3010000">
            <w:pPr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4010000">
            <w:pPr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5010000">
            <w:pPr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6010000">
            <w:pPr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7010000">
            <w:pPr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8010000">
            <w:pPr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9010000">
            <w:pPr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A010000">
            <w:pPr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B010000">
            <w:pPr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C010000">
            <w:pPr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D010000">
            <w:pPr>
              <w:widowControl w:val="0"/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</w:tr>
    </w:tbl>
    <w:p w14:paraId="6E010000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sectPr>
      <w:headerReference r:id="rId1" w:type="default"/>
      <w:footerReference r:id="rId2" w:type="default"/>
      <w:pgSz w:h="16820" w:orient="portrait" w:w="11900"/>
      <w:pgMar w:bottom="1135" w:footer="720" w:gutter="0" w:header="720" w:left="1276" w:right="70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rPr>
        <w:rStyle w:val="Style_1_ch"/>
      </w:rPr>
      <w:fldChar w:fldCharType="begin"/>
    </w:r>
    <w:r>
      <w:rPr>
        <w:rStyle w:val="Style_1_ch"/>
      </w:rPr>
      <w:instrText xml:space="preserve">PAGE </w:instrText>
    </w:r>
    <w:r>
      <w:rPr>
        <w:rStyle w:val="Style_1_ch"/>
      </w:rPr>
      <w:fldChar w:fldCharType="separate"/>
    </w:r>
    <w:r>
      <w:rPr>
        <w:rStyle w:val="Style_1_ch"/>
      </w:rPr>
      <w:fldChar w:fldCharType="end"/>
    </w:r>
  </w:p>
  <w:p w14:paraId="02000000">
    <w:pPr>
      <w:pStyle w:val="Style_2"/>
      <w:ind w:right="360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2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3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4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6" w:type="paragraph">
    <w:name w:val="toc 2"/>
    <w:next w:val="Style_3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toc 4"/>
    <w:next w:val="Style_3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heading 7"/>
    <w:basedOn w:val="Style_3"/>
    <w:next w:val="Style_3"/>
    <w:link w:val="Style_9_ch"/>
    <w:uiPriority w:val="9"/>
    <w:qFormat/>
    <w:pPr>
      <w:spacing w:after="60" w:before="240"/>
      <w:ind/>
      <w:outlineLvl w:val="6"/>
    </w:pPr>
    <w:rPr>
      <w:sz w:val="24"/>
    </w:rPr>
  </w:style>
  <w:style w:styleId="Style_9_ch" w:type="character">
    <w:name w:val="heading 7"/>
    <w:basedOn w:val="Style_3_ch"/>
    <w:link w:val="Style_9"/>
    <w:rPr>
      <w:sz w:val="24"/>
    </w:rPr>
  </w:style>
  <w:style w:styleId="Style_10" w:type="paragraph">
    <w:name w:val="toc 6"/>
    <w:next w:val="Style_3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3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basedOn w:val="Style_3"/>
    <w:next w:val="Style_3"/>
    <w:link w:val="Style_12_ch"/>
    <w:uiPriority w:val="9"/>
    <w:qFormat/>
    <w:pPr>
      <w:keepNext w:val="1"/>
      <w:ind/>
      <w:jc w:val="both"/>
      <w:outlineLvl w:val="2"/>
    </w:pPr>
    <w:rPr>
      <w:b w:val="1"/>
      <w:sz w:val="28"/>
    </w:rPr>
  </w:style>
  <w:style w:styleId="Style_12_ch" w:type="character">
    <w:name w:val="heading 3"/>
    <w:basedOn w:val="Style_3_ch"/>
    <w:link w:val="Style_12"/>
    <w:rPr>
      <w:b w:val="1"/>
      <w:sz w:val="28"/>
    </w:rPr>
  </w:style>
  <w:style w:styleId="Style_13" w:type="paragraph">
    <w:name w:val="Balloon Text"/>
    <w:basedOn w:val="Style_3"/>
    <w:link w:val="Style_13_ch"/>
    <w:rPr>
      <w:rFonts w:ascii="Tahoma" w:hAnsi="Tahoma"/>
      <w:sz w:val="16"/>
    </w:rPr>
  </w:style>
  <w:style w:styleId="Style_13_ch" w:type="character">
    <w:name w:val="Balloon Text"/>
    <w:basedOn w:val="Style_3_ch"/>
    <w:link w:val="Style_13"/>
    <w:rPr>
      <w:rFonts w:ascii="Tahoma" w:hAnsi="Tahoma"/>
      <w:sz w:val="16"/>
    </w:rPr>
  </w:style>
  <w:style w:styleId="Style_14" w:type="paragraph">
    <w:name w:val="Body Text 2"/>
    <w:basedOn w:val="Style_3"/>
    <w:link w:val="Style_14_ch"/>
    <w:pPr>
      <w:spacing w:after="120" w:line="480" w:lineRule="auto"/>
      <w:ind/>
    </w:pPr>
  </w:style>
  <w:style w:styleId="Style_14_ch" w:type="character">
    <w:name w:val="Body Text 2"/>
    <w:basedOn w:val="Style_3_ch"/>
    <w:link w:val="Style_14"/>
  </w:style>
  <w:style w:styleId="Style_2" w:type="paragraph">
    <w:name w:val="footer"/>
    <w:basedOn w:val="Style_3"/>
    <w:link w:val="Style_2_ch"/>
    <w:pPr>
      <w:tabs>
        <w:tab w:leader="none" w:pos="4703" w:val="center"/>
        <w:tab w:leader="none" w:pos="9406" w:val="right"/>
      </w:tabs>
      <w:ind/>
    </w:pPr>
  </w:style>
  <w:style w:styleId="Style_2_ch" w:type="character">
    <w:name w:val="footer"/>
    <w:basedOn w:val="Style_3_ch"/>
    <w:link w:val="Style_2"/>
  </w:style>
  <w:style w:styleId="Style_15" w:type="paragraph">
    <w:name w:val="heading 9"/>
    <w:basedOn w:val="Style_3"/>
    <w:next w:val="Style_3"/>
    <w:link w:val="Style_15_ch"/>
    <w:uiPriority w:val="9"/>
    <w:qFormat/>
    <w:pPr>
      <w:spacing w:after="60" w:before="240"/>
      <w:ind/>
      <w:outlineLvl w:val="8"/>
    </w:pPr>
    <w:rPr>
      <w:rFonts w:ascii="Arial" w:hAnsi="Arial"/>
      <w:sz w:val="22"/>
    </w:rPr>
  </w:style>
  <w:style w:styleId="Style_15_ch" w:type="character">
    <w:name w:val="heading 9"/>
    <w:basedOn w:val="Style_3_ch"/>
    <w:link w:val="Style_15"/>
    <w:rPr>
      <w:rFonts w:ascii="Arial" w:hAnsi="Arial"/>
      <w:sz w:val="22"/>
    </w:rPr>
  </w:style>
  <w:style w:styleId="Style_16" w:type="paragraph">
    <w:name w:val="ConsPlusTitle"/>
    <w:link w:val="Style_16_ch"/>
    <w:pPr>
      <w:widowControl w:val="0"/>
      <w:ind/>
    </w:pPr>
    <w:rPr>
      <w:rFonts w:ascii="Arial" w:hAnsi="Arial"/>
      <w:b w:val="1"/>
    </w:rPr>
  </w:style>
  <w:style w:styleId="Style_16_ch" w:type="character">
    <w:name w:val="ConsPlusTitle"/>
    <w:link w:val="Style_16"/>
    <w:rPr>
      <w:rFonts w:ascii="Arial" w:hAnsi="Arial"/>
      <w:b w:val="1"/>
    </w:rPr>
  </w:style>
  <w:style w:styleId="Style_17" w:type="paragraph">
    <w:name w:val="Body Text Indent 2"/>
    <w:basedOn w:val="Style_3"/>
    <w:link w:val="Style_17_ch"/>
    <w:pPr>
      <w:ind w:firstLine="360" w:left="0"/>
      <w:jc w:val="both"/>
    </w:pPr>
    <w:rPr>
      <w:sz w:val="28"/>
    </w:rPr>
  </w:style>
  <w:style w:styleId="Style_17_ch" w:type="character">
    <w:name w:val="Body Text Indent 2"/>
    <w:basedOn w:val="Style_3_ch"/>
    <w:link w:val="Style_17"/>
    <w:rPr>
      <w:sz w:val="28"/>
    </w:rPr>
  </w:style>
  <w:style w:styleId="Style_18" w:type="paragraph">
    <w:name w:val="toc 3"/>
    <w:next w:val="Style_3"/>
    <w:link w:val="Style_1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Standard"/>
    <w:link w:val="Style_19_ch"/>
  </w:style>
  <w:style w:styleId="Style_19_ch" w:type="character">
    <w:name w:val="Standard"/>
    <w:link w:val="Style_19"/>
  </w:style>
  <w:style w:styleId="Style_20" w:type="paragraph">
    <w:name w:val="Body Text 21"/>
    <w:basedOn w:val="Style_3"/>
    <w:link w:val="Style_20_ch"/>
    <w:pPr>
      <w:ind/>
      <w:jc w:val="both"/>
    </w:pPr>
    <w:rPr>
      <w:sz w:val="28"/>
    </w:rPr>
  </w:style>
  <w:style w:styleId="Style_20_ch" w:type="character">
    <w:name w:val="Body Text 21"/>
    <w:basedOn w:val="Style_3_ch"/>
    <w:link w:val="Style_20"/>
    <w:rPr>
      <w:sz w:val="28"/>
    </w:rPr>
  </w:style>
  <w:style w:styleId="Style_21" w:type="paragraph">
    <w:name w:val="heading 5"/>
    <w:next w:val="Style_3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22" w:type="paragraph">
    <w:name w:val="heading 1"/>
    <w:basedOn w:val="Style_3"/>
    <w:next w:val="Style_3"/>
    <w:link w:val="Style_22_ch"/>
    <w:uiPriority w:val="9"/>
    <w:qFormat/>
    <w:pPr>
      <w:keepNext w:val="1"/>
      <w:ind/>
      <w:jc w:val="both"/>
      <w:outlineLvl w:val="0"/>
    </w:pPr>
    <w:rPr>
      <w:sz w:val="28"/>
    </w:rPr>
  </w:style>
  <w:style w:styleId="Style_22_ch" w:type="character">
    <w:name w:val="heading 1"/>
    <w:basedOn w:val="Style_3_ch"/>
    <w:link w:val="Style_22"/>
    <w:rPr>
      <w:sz w:val="28"/>
    </w:rPr>
  </w:style>
  <w:style w:styleId="Style_23" w:type="paragraph">
    <w:name w:val="Body Text 22"/>
    <w:basedOn w:val="Style_3"/>
    <w:link w:val="Style_23_ch"/>
    <w:pPr>
      <w:ind w:firstLine="708" w:left="0"/>
      <w:jc w:val="both"/>
    </w:pPr>
    <w:rPr>
      <w:sz w:val="28"/>
    </w:rPr>
  </w:style>
  <w:style w:styleId="Style_23_ch" w:type="character">
    <w:name w:val="Body Text 22"/>
    <w:basedOn w:val="Style_3_ch"/>
    <w:link w:val="Style_23"/>
    <w:rPr>
      <w:sz w:val="28"/>
    </w:rPr>
  </w:style>
  <w:style w:styleId="Style_24" w:type="paragraph">
    <w:name w:val="Знак Знак Знак Знак"/>
    <w:basedOn w:val="Style_3"/>
    <w:link w:val="Style_24_ch"/>
    <w:pPr>
      <w:widowControl w:val="0"/>
      <w:spacing w:after="160" w:line="240" w:lineRule="exact"/>
      <w:ind/>
      <w:jc w:val="right"/>
    </w:pPr>
  </w:style>
  <w:style w:styleId="Style_24_ch" w:type="character">
    <w:name w:val="Знак Знак Знак Знак"/>
    <w:basedOn w:val="Style_3_ch"/>
    <w:link w:val="Style_24"/>
  </w:style>
  <w:style w:styleId="Style_1" w:type="paragraph">
    <w:name w:val="page number"/>
    <w:basedOn w:val="Style_7"/>
    <w:link w:val="Style_1_ch"/>
  </w:style>
  <w:style w:styleId="Style_1_ch" w:type="character">
    <w:name w:val="page number"/>
    <w:basedOn w:val="Style_7_ch"/>
    <w:link w:val="Style_1"/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25" w:type="paragraph">
    <w:name w:val="Footnote"/>
    <w:link w:val="Style_25_ch"/>
    <w:pPr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3"/>
    <w:link w:val="Style_2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spacing w:line="240" w:lineRule="auto"/>
      <w:ind/>
      <w:jc w:val="both"/>
    </w:pPr>
    <w:rPr>
      <w:rFonts w:ascii="XO Thames" w:hAnsi="XO Thames"/>
      <w:sz w:val="20"/>
    </w:rPr>
  </w:style>
  <w:style w:styleId="Style_27_ch" w:type="character">
    <w:name w:val="Header and Footer"/>
    <w:link w:val="Style_27"/>
    <w:rPr>
      <w:rFonts w:ascii="XO Thames" w:hAnsi="XO Thames"/>
      <w:sz w:val="20"/>
    </w:rPr>
  </w:style>
  <w:style w:styleId="Style_28" w:type="paragraph">
    <w:name w:val="Body Text 2"/>
    <w:basedOn w:val="Style_3"/>
    <w:link w:val="Style_28_ch"/>
    <w:pPr>
      <w:ind w:firstLine="709" w:left="0" w:right="57"/>
      <w:jc w:val="both"/>
    </w:pPr>
    <w:rPr>
      <w:sz w:val="28"/>
    </w:rPr>
  </w:style>
  <w:style w:styleId="Style_28_ch" w:type="character">
    <w:name w:val="Body Text 2"/>
    <w:basedOn w:val="Style_3_ch"/>
    <w:link w:val="Style_28"/>
    <w:rPr>
      <w:sz w:val="28"/>
    </w:rPr>
  </w:style>
  <w:style w:styleId="Style_29" w:type="paragraph">
    <w:name w:val="toc 9"/>
    <w:next w:val="Style_3"/>
    <w:link w:val="Style_2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ConsPlusNonformat"/>
    <w:link w:val="Style_30_ch"/>
    <w:pPr>
      <w:widowControl w:val="0"/>
      <w:ind/>
    </w:pPr>
    <w:rPr>
      <w:rFonts w:ascii="Courier New" w:hAnsi="Courier New"/>
    </w:rPr>
  </w:style>
  <w:style w:styleId="Style_30_ch" w:type="character">
    <w:name w:val="ConsPlusNonformat"/>
    <w:link w:val="Style_30"/>
    <w:rPr>
      <w:rFonts w:ascii="Courier New" w:hAnsi="Courier New"/>
    </w:rPr>
  </w:style>
  <w:style w:styleId="Style_31" w:type="paragraph">
    <w:name w:val="toc 8"/>
    <w:next w:val="Style_3"/>
    <w:link w:val="Style_3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toc 5"/>
    <w:next w:val="Style_3"/>
    <w:link w:val="Style_3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33" w:type="paragraph">
    <w:name w:val="header"/>
    <w:basedOn w:val="Style_3"/>
    <w:link w:val="Style_33_ch"/>
    <w:pPr>
      <w:tabs>
        <w:tab w:leader="none" w:pos="4703" w:val="center"/>
        <w:tab w:leader="none" w:pos="9406" w:val="right"/>
      </w:tabs>
      <w:ind/>
    </w:pPr>
  </w:style>
  <w:style w:styleId="Style_33_ch" w:type="character">
    <w:name w:val="header"/>
    <w:basedOn w:val="Style_3_ch"/>
    <w:link w:val="Style_33"/>
  </w:style>
  <w:style w:styleId="Style_34" w:type="paragraph">
    <w:name w:val="ConsPlusNormal"/>
    <w:link w:val="Style_34_ch"/>
    <w:pPr>
      <w:widowControl w:val="0"/>
      <w:ind w:firstLine="720" w:left="0"/>
    </w:pPr>
    <w:rPr>
      <w:rFonts w:ascii="Arial" w:hAnsi="Arial"/>
    </w:rPr>
  </w:style>
  <w:style w:styleId="Style_34_ch" w:type="character">
    <w:name w:val="ConsPlusNormal"/>
    <w:link w:val="Style_34"/>
    <w:rPr>
      <w:rFonts w:ascii="Arial" w:hAnsi="Arial"/>
    </w:rPr>
  </w:style>
  <w:style w:styleId="Style_35" w:type="paragraph">
    <w:name w:val="Body Text"/>
    <w:basedOn w:val="Style_3"/>
    <w:link w:val="Style_35_ch"/>
    <w:pPr>
      <w:ind/>
      <w:jc w:val="both"/>
    </w:pPr>
    <w:rPr>
      <w:sz w:val="24"/>
    </w:rPr>
  </w:style>
  <w:style w:styleId="Style_35_ch" w:type="character">
    <w:name w:val="Body Text"/>
    <w:basedOn w:val="Style_3_ch"/>
    <w:link w:val="Style_35"/>
    <w:rPr>
      <w:sz w:val="24"/>
    </w:rPr>
  </w:style>
  <w:style w:styleId="Style_36" w:type="paragraph">
    <w:name w:val="Subtitle"/>
    <w:next w:val="Style_3"/>
    <w:link w:val="Style_3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6_ch" w:type="character">
    <w:name w:val="Subtitle"/>
    <w:link w:val="Style_36"/>
    <w:rPr>
      <w:rFonts w:ascii="XO Thames" w:hAnsi="XO Thames"/>
      <w:i w:val="1"/>
      <w:sz w:val="24"/>
    </w:rPr>
  </w:style>
  <w:style w:styleId="Style_37" w:type="paragraph">
    <w:name w:val="Title"/>
    <w:next w:val="Style_3"/>
    <w:link w:val="Style_3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7_ch" w:type="character">
    <w:name w:val="Title"/>
    <w:link w:val="Style_37"/>
    <w:rPr>
      <w:rFonts w:ascii="XO Thames" w:hAnsi="XO Thames"/>
      <w:b w:val="1"/>
      <w:caps w:val="1"/>
      <w:sz w:val="40"/>
    </w:rPr>
  </w:style>
  <w:style w:styleId="Style_38" w:type="paragraph">
    <w:name w:val="heading 4"/>
    <w:basedOn w:val="Style_3"/>
    <w:next w:val="Style_3"/>
    <w:link w:val="Style_38_ch"/>
    <w:uiPriority w:val="9"/>
    <w:qFormat/>
    <w:pPr>
      <w:keepNext w:val="1"/>
      <w:spacing w:after="60" w:before="240"/>
      <w:ind/>
      <w:outlineLvl w:val="3"/>
    </w:pPr>
    <w:rPr>
      <w:b w:val="1"/>
      <w:sz w:val="28"/>
    </w:rPr>
  </w:style>
  <w:style w:styleId="Style_38_ch" w:type="character">
    <w:name w:val="heading 4"/>
    <w:basedOn w:val="Style_3_ch"/>
    <w:link w:val="Style_38"/>
    <w:rPr>
      <w:b w:val="1"/>
      <w:sz w:val="28"/>
    </w:rPr>
  </w:style>
  <w:style w:styleId="Style_39" w:type="paragraph">
    <w:name w:val="heading 2"/>
    <w:basedOn w:val="Style_3"/>
    <w:next w:val="Style_3"/>
    <w:link w:val="Style_39_ch"/>
    <w:uiPriority w:val="9"/>
    <w:qFormat/>
    <w:pPr>
      <w:keepNext w:val="1"/>
      <w:ind/>
      <w:jc w:val="center"/>
      <w:outlineLvl w:val="1"/>
    </w:pPr>
    <w:rPr>
      <w:b w:val="1"/>
      <w:sz w:val="28"/>
    </w:rPr>
  </w:style>
  <w:style w:styleId="Style_39_ch" w:type="character">
    <w:name w:val="heading 2"/>
    <w:basedOn w:val="Style_3_ch"/>
    <w:link w:val="Style_39"/>
    <w:rPr>
      <w:b w:val="1"/>
      <w:sz w:val="28"/>
    </w:r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0" w:type="table">
    <w:name w:val="Table Grid"/>
    <w:basedOn w:val="Style_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numbering.xml" Type="http://schemas.openxmlformats.org/officeDocument/2006/relationships/numbering"/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media/1.png" Type="http://schemas.openxmlformats.org/officeDocument/2006/relationships/image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2023-10-09T10:26:06Z</dcterms:modified>
</cp:coreProperties>
</file>